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92E74" w14:textId="5599EA00" w:rsidR="00985F05" w:rsidRPr="00217D5E" w:rsidRDefault="00985F05" w:rsidP="00985F05">
      <w:pPr>
        <w:jc w:val="center"/>
        <w:rPr>
          <w:rFonts w:ascii="Lato" w:hAnsi="Lato" w:cs="Kigelia"/>
          <w:b/>
          <w:bCs/>
          <w:color w:val="000000"/>
          <w:sz w:val="20"/>
          <w:szCs w:val="20"/>
        </w:rPr>
      </w:pPr>
      <w:r w:rsidRPr="00217D5E">
        <w:rPr>
          <w:rFonts w:ascii="Lato" w:hAnsi="Lato" w:cs="Kigelia"/>
          <w:b/>
          <w:bCs/>
          <w:color w:val="000000"/>
          <w:sz w:val="20"/>
          <w:szCs w:val="20"/>
        </w:rPr>
        <w:t>Patient Health Record Intake Workflow</w:t>
      </w:r>
    </w:p>
    <w:p w14:paraId="4E880D8D" w14:textId="77777777" w:rsidR="00985F05" w:rsidRPr="00217D5E" w:rsidRDefault="00985F05" w:rsidP="00985F05">
      <w:pPr>
        <w:autoSpaceDE w:val="0"/>
        <w:autoSpaceDN w:val="0"/>
        <w:adjustRightInd w:val="0"/>
        <w:spacing w:after="0" w:line="240" w:lineRule="auto"/>
        <w:rPr>
          <w:rFonts w:ascii="Lato" w:hAnsi="Lato" w:cs="Kigelia"/>
          <w:color w:val="202020"/>
          <w:sz w:val="20"/>
          <w:szCs w:val="20"/>
        </w:rPr>
      </w:pPr>
    </w:p>
    <w:p w14:paraId="547CCC56" w14:textId="77777777" w:rsidR="00985F05" w:rsidRPr="00217D5E" w:rsidRDefault="00985F05" w:rsidP="00985F05">
      <w:pPr>
        <w:autoSpaceDE w:val="0"/>
        <w:autoSpaceDN w:val="0"/>
        <w:adjustRightInd w:val="0"/>
        <w:spacing w:after="0" w:line="240" w:lineRule="auto"/>
        <w:rPr>
          <w:rFonts w:ascii="Lato" w:hAnsi="Lato" w:cs="Kigelia"/>
          <w:color w:val="222222"/>
          <w:sz w:val="20"/>
          <w:szCs w:val="20"/>
        </w:rPr>
      </w:pPr>
    </w:p>
    <w:p w14:paraId="52B7F195" w14:textId="77777777" w:rsidR="00985F05" w:rsidRPr="00217D5E" w:rsidRDefault="00985F05" w:rsidP="00985F05">
      <w:pPr>
        <w:autoSpaceDE w:val="0"/>
        <w:autoSpaceDN w:val="0"/>
        <w:adjustRightInd w:val="0"/>
        <w:spacing w:after="0" w:line="240" w:lineRule="auto"/>
        <w:jc w:val="center"/>
        <w:rPr>
          <w:rFonts w:ascii="Lato" w:hAnsi="Lato" w:cs="Kigelia"/>
          <w:color w:val="222222"/>
          <w:sz w:val="20"/>
          <w:szCs w:val="20"/>
        </w:rPr>
      </w:pPr>
    </w:p>
    <w:p w14:paraId="75BBC202" w14:textId="77777777" w:rsidR="00985F05" w:rsidRPr="00217D5E" w:rsidRDefault="00985F05" w:rsidP="00985F05">
      <w:pPr>
        <w:autoSpaceDE w:val="0"/>
        <w:autoSpaceDN w:val="0"/>
        <w:adjustRightInd w:val="0"/>
        <w:spacing w:after="0" w:line="240" w:lineRule="auto"/>
        <w:jc w:val="center"/>
        <w:rPr>
          <w:rFonts w:ascii="Lato" w:hAnsi="Lato" w:cs="Kigelia"/>
          <w:color w:val="222222"/>
          <w:sz w:val="20"/>
          <w:szCs w:val="20"/>
        </w:rPr>
      </w:pPr>
    </w:p>
    <w:p w14:paraId="3F0EC19C" w14:textId="77777777" w:rsidR="00985F05" w:rsidRPr="00217D5E" w:rsidRDefault="00985F05" w:rsidP="00985F05">
      <w:pPr>
        <w:autoSpaceDE w:val="0"/>
        <w:autoSpaceDN w:val="0"/>
        <w:adjustRightInd w:val="0"/>
        <w:spacing w:after="0" w:line="240" w:lineRule="auto"/>
        <w:jc w:val="center"/>
        <w:rPr>
          <w:rFonts w:ascii="Lato" w:hAnsi="Lato" w:cs="Kigelia"/>
          <w:color w:val="222222"/>
          <w:sz w:val="20"/>
          <w:szCs w:val="20"/>
        </w:rPr>
      </w:pPr>
    </w:p>
    <w:p w14:paraId="34265351"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3D571581"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r w:rsidRPr="00217D5E">
        <w:rPr>
          <w:rFonts w:ascii="Lato" w:eastAsia="Times New Roman" w:hAnsi="Lato" w:cs="Kigelia"/>
          <w:kern w:val="0"/>
          <w:sz w:val="20"/>
          <w:szCs w:val="20"/>
        </w:rPr>
        <w:t>Cara A. Garcia</w:t>
      </w:r>
    </w:p>
    <w:p w14:paraId="50E0CFDA"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5B92BDCD"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r w:rsidRPr="00217D5E">
        <w:rPr>
          <w:rFonts w:ascii="Lato" w:eastAsia="Times New Roman" w:hAnsi="Lato" w:cs="Kigelia"/>
          <w:kern w:val="0"/>
          <w:sz w:val="20"/>
          <w:szCs w:val="20"/>
        </w:rPr>
        <w:t>University of Mary</w:t>
      </w:r>
    </w:p>
    <w:p w14:paraId="278858FC"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34CA8A86"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r w:rsidRPr="00217D5E">
        <w:rPr>
          <w:rFonts w:ascii="Lato" w:eastAsia="Times New Roman" w:hAnsi="Lato" w:cs="Kigelia"/>
          <w:kern w:val="0"/>
          <w:sz w:val="20"/>
          <w:szCs w:val="20"/>
        </w:rPr>
        <w:t>NUR 667 Applied Clinical Informatics in Patient Centered Care</w:t>
      </w:r>
    </w:p>
    <w:p w14:paraId="5930FB63"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4728F475"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r w:rsidRPr="00217D5E">
        <w:rPr>
          <w:rFonts w:ascii="Lato" w:eastAsia="Times New Roman" w:hAnsi="Lato" w:cs="Kigelia"/>
          <w:kern w:val="0"/>
          <w:sz w:val="20"/>
          <w:szCs w:val="20"/>
        </w:rPr>
        <w:t xml:space="preserve">Shawn </w:t>
      </w:r>
      <w:proofErr w:type="spellStart"/>
      <w:r w:rsidRPr="00217D5E">
        <w:rPr>
          <w:rFonts w:ascii="Lato" w:eastAsia="Times New Roman" w:hAnsi="Lato" w:cs="Kigelia"/>
          <w:kern w:val="0"/>
          <w:sz w:val="20"/>
          <w:szCs w:val="20"/>
        </w:rPr>
        <w:t>Ehler</w:t>
      </w:r>
      <w:proofErr w:type="spellEnd"/>
    </w:p>
    <w:p w14:paraId="09371123"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20991D05"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r w:rsidRPr="00217D5E">
        <w:rPr>
          <w:rFonts w:ascii="Lato" w:eastAsia="Times New Roman" w:hAnsi="Lato" w:cs="Kigelia"/>
          <w:kern w:val="0"/>
          <w:sz w:val="20"/>
          <w:szCs w:val="20"/>
        </w:rPr>
        <w:t>August 6, 2023</w:t>
      </w:r>
    </w:p>
    <w:p w14:paraId="2CFB1039"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36AA3885"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3B4709AD" w14:textId="77777777" w:rsidR="00985F05" w:rsidRPr="00217D5E" w:rsidRDefault="00985F05" w:rsidP="00985F05">
      <w:pPr>
        <w:autoSpaceDE w:val="0"/>
        <w:autoSpaceDN w:val="0"/>
        <w:adjustRightInd w:val="0"/>
        <w:spacing w:after="0" w:line="240" w:lineRule="auto"/>
        <w:jc w:val="center"/>
        <w:rPr>
          <w:rFonts w:ascii="Lato" w:eastAsia="Times New Roman" w:hAnsi="Lato" w:cs="Kigelia"/>
          <w:kern w:val="0"/>
          <w:sz w:val="20"/>
          <w:szCs w:val="20"/>
        </w:rPr>
      </w:pPr>
    </w:p>
    <w:p w14:paraId="2F4B1701" w14:textId="77777777" w:rsidR="00985F05" w:rsidRPr="00217D5E" w:rsidRDefault="00985F05" w:rsidP="00985F05">
      <w:pPr>
        <w:rPr>
          <w:rFonts w:ascii="Lato" w:hAnsi="Lato"/>
          <w:sz w:val="20"/>
          <w:szCs w:val="20"/>
        </w:rPr>
      </w:pPr>
    </w:p>
    <w:p w14:paraId="6EBE3D14" w14:textId="77777777" w:rsidR="00985F05" w:rsidRPr="00217D5E" w:rsidRDefault="00985F05" w:rsidP="00985F05">
      <w:pPr>
        <w:rPr>
          <w:rFonts w:ascii="Lato" w:hAnsi="Lato"/>
          <w:sz w:val="20"/>
          <w:szCs w:val="20"/>
        </w:rPr>
      </w:pPr>
    </w:p>
    <w:p w14:paraId="133A1F8E" w14:textId="77777777" w:rsidR="00985F05" w:rsidRPr="00217D5E" w:rsidRDefault="00985F05" w:rsidP="00985F05">
      <w:pPr>
        <w:rPr>
          <w:rFonts w:ascii="Lato" w:hAnsi="Lato"/>
          <w:sz w:val="20"/>
          <w:szCs w:val="20"/>
        </w:rPr>
      </w:pPr>
    </w:p>
    <w:p w14:paraId="37D944A8" w14:textId="77777777" w:rsidR="00985F05" w:rsidRPr="00217D5E" w:rsidRDefault="00985F05" w:rsidP="00985F05">
      <w:pPr>
        <w:rPr>
          <w:rFonts w:ascii="Lato" w:hAnsi="Lato"/>
          <w:sz w:val="20"/>
          <w:szCs w:val="20"/>
        </w:rPr>
      </w:pPr>
    </w:p>
    <w:p w14:paraId="252BB21B" w14:textId="77777777" w:rsidR="00985F05" w:rsidRPr="00217D5E" w:rsidRDefault="00985F05" w:rsidP="00985F05">
      <w:pPr>
        <w:rPr>
          <w:rFonts w:ascii="Lato" w:hAnsi="Lato"/>
          <w:sz w:val="20"/>
          <w:szCs w:val="20"/>
        </w:rPr>
      </w:pPr>
    </w:p>
    <w:p w14:paraId="185C7DD1" w14:textId="77777777" w:rsidR="00985F05" w:rsidRPr="00217D5E" w:rsidRDefault="00985F05" w:rsidP="00985F05">
      <w:pPr>
        <w:rPr>
          <w:rFonts w:ascii="Lato" w:hAnsi="Lato"/>
          <w:sz w:val="20"/>
          <w:szCs w:val="20"/>
        </w:rPr>
      </w:pPr>
    </w:p>
    <w:p w14:paraId="2F5383C2" w14:textId="77777777" w:rsidR="00985F05" w:rsidRPr="00217D5E" w:rsidRDefault="00985F05" w:rsidP="00985F05">
      <w:pPr>
        <w:rPr>
          <w:rFonts w:ascii="Lato" w:hAnsi="Lato"/>
          <w:sz w:val="20"/>
          <w:szCs w:val="20"/>
        </w:rPr>
      </w:pPr>
    </w:p>
    <w:p w14:paraId="31F2723C" w14:textId="77777777" w:rsidR="00985F05" w:rsidRPr="00217D5E" w:rsidRDefault="00985F05" w:rsidP="00985F05">
      <w:pPr>
        <w:rPr>
          <w:rFonts w:ascii="Lato" w:hAnsi="Lato"/>
          <w:sz w:val="20"/>
          <w:szCs w:val="20"/>
        </w:rPr>
      </w:pPr>
    </w:p>
    <w:p w14:paraId="3D152996" w14:textId="77777777" w:rsidR="00985F05" w:rsidRPr="00217D5E" w:rsidRDefault="00985F05" w:rsidP="00985F05">
      <w:pPr>
        <w:rPr>
          <w:rFonts w:ascii="Lato" w:hAnsi="Lato"/>
          <w:sz w:val="20"/>
          <w:szCs w:val="20"/>
        </w:rPr>
      </w:pPr>
    </w:p>
    <w:p w14:paraId="6FE92566" w14:textId="77777777" w:rsidR="00985F05" w:rsidRPr="00217D5E" w:rsidRDefault="00985F05" w:rsidP="00985F05">
      <w:pPr>
        <w:rPr>
          <w:rFonts w:ascii="Lato" w:hAnsi="Lato"/>
          <w:sz w:val="20"/>
          <w:szCs w:val="20"/>
        </w:rPr>
      </w:pPr>
    </w:p>
    <w:p w14:paraId="5E4CA5F3" w14:textId="77777777" w:rsidR="00985F05" w:rsidRPr="00217D5E" w:rsidRDefault="00985F05" w:rsidP="00985F05">
      <w:pPr>
        <w:rPr>
          <w:rFonts w:ascii="Lato" w:hAnsi="Lato"/>
          <w:sz w:val="20"/>
          <w:szCs w:val="20"/>
        </w:rPr>
      </w:pPr>
    </w:p>
    <w:p w14:paraId="3D874AB2" w14:textId="77777777" w:rsidR="00985F05" w:rsidRPr="00217D5E" w:rsidRDefault="00985F05" w:rsidP="00985F05">
      <w:pPr>
        <w:rPr>
          <w:rFonts w:ascii="Lato" w:hAnsi="Lato"/>
          <w:sz w:val="20"/>
          <w:szCs w:val="20"/>
        </w:rPr>
      </w:pPr>
    </w:p>
    <w:p w14:paraId="0A496C54" w14:textId="77777777" w:rsidR="00985F05" w:rsidRPr="00217D5E" w:rsidRDefault="00985F05" w:rsidP="00985F05">
      <w:pPr>
        <w:rPr>
          <w:rFonts w:ascii="Lato" w:hAnsi="Lato"/>
          <w:sz w:val="20"/>
          <w:szCs w:val="20"/>
        </w:rPr>
      </w:pPr>
    </w:p>
    <w:p w14:paraId="3DCD87F1" w14:textId="77777777" w:rsidR="00985F05" w:rsidRPr="00217D5E" w:rsidRDefault="00985F05" w:rsidP="00985F05">
      <w:pPr>
        <w:rPr>
          <w:rFonts w:ascii="Lato" w:hAnsi="Lato"/>
          <w:sz w:val="20"/>
          <w:szCs w:val="20"/>
        </w:rPr>
      </w:pPr>
    </w:p>
    <w:p w14:paraId="10E4EF96" w14:textId="77777777" w:rsidR="00985F05" w:rsidRPr="00217D5E" w:rsidRDefault="00985F05" w:rsidP="00985F05">
      <w:pPr>
        <w:rPr>
          <w:rFonts w:ascii="Lato" w:hAnsi="Lato"/>
          <w:sz w:val="20"/>
          <w:szCs w:val="20"/>
        </w:rPr>
      </w:pPr>
    </w:p>
    <w:p w14:paraId="39C80876" w14:textId="77777777" w:rsidR="00985F05" w:rsidRPr="00217D5E" w:rsidRDefault="00985F05" w:rsidP="00985F05">
      <w:pPr>
        <w:rPr>
          <w:rFonts w:ascii="Lato" w:hAnsi="Lato"/>
          <w:sz w:val="20"/>
          <w:szCs w:val="20"/>
        </w:rPr>
      </w:pPr>
    </w:p>
    <w:p w14:paraId="49F96ED5" w14:textId="77777777" w:rsidR="00985F05" w:rsidRPr="00217D5E" w:rsidRDefault="00985F05" w:rsidP="00985F05">
      <w:pPr>
        <w:rPr>
          <w:rFonts w:ascii="Lato" w:hAnsi="Lato"/>
          <w:sz w:val="20"/>
          <w:szCs w:val="20"/>
        </w:rPr>
      </w:pPr>
    </w:p>
    <w:p w14:paraId="011DC4AA" w14:textId="77777777" w:rsidR="00985F05" w:rsidRPr="00217D5E" w:rsidRDefault="00985F05" w:rsidP="00985F05">
      <w:pPr>
        <w:rPr>
          <w:rFonts w:ascii="Lato" w:hAnsi="Lato"/>
          <w:sz w:val="20"/>
          <w:szCs w:val="20"/>
        </w:rPr>
      </w:pPr>
    </w:p>
    <w:p w14:paraId="6E0E54B8" w14:textId="77777777" w:rsidR="00985F05" w:rsidRPr="00217D5E" w:rsidRDefault="00985F05" w:rsidP="00985F05">
      <w:pPr>
        <w:rPr>
          <w:rFonts w:ascii="Lato" w:hAnsi="Lato"/>
          <w:sz w:val="20"/>
          <w:szCs w:val="20"/>
        </w:rPr>
      </w:pPr>
    </w:p>
    <w:p w14:paraId="36D50211" w14:textId="77777777" w:rsidR="00985F05" w:rsidRPr="00217D5E" w:rsidRDefault="00985F05" w:rsidP="00985F05">
      <w:pPr>
        <w:rPr>
          <w:rFonts w:ascii="Lato" w:hAnsi="Lato"/>
          <w:sz w:val="20"/>
          <w:szCs w:val="20"/>
        </w:rPr>
      </w:pPr>
    </w:p>
    <w:p w14:paraId="24BD28DC" w14:textId="4662C4B8" w:rsidR="00985F05" w:rsidRPr="00217D5E" w:rsidRDefault="00985F05" w:rsidP="00985F05">
      <w:pPr>
        <w:jc w:val="center"/>
        <w:rPr>
          <w:rFonts w:ascii="Lato" w:hAnsi="Lato" w:cs="Kigelia"/>
          <w:b/>
          <w:bCs/>
          <w:color w:val="000000"/>
          <w:sz w:val="20"/>
          <w:szCs w:val="20"/>
        </w:rPr>
      </w:pPr>
      <w:r w:rsidRPr="00217D5E">
        <w:rPr>
          <w:rFonts w:ascii="Lato" w:hAnsi="Lato" w:cs="Kigelia"/>
          <w:b/>
          <w:bCs/>
          <w:color w:val="000000"/>
          <w:sz w:val="20"/>
          <w:szCs w:val="20"/>
        </w:rPr>
        <w:lastRenderedPageBreak/>
        <w:t>Patient Health Record Intake Workflow</w:t>
      </w:r>
    </w:p>
    <w:p w14:paraId="07D53BDE"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The patient health record (PHR) is a physical or electronic record of a patient’s pertinent medical history that is recorded, prioritized, and in all other ways managed by the patient or their caregiver. Unlike an electronic health record (EHR) which is managed by a provider or a health organization, the PHR represents a collection of information from any or all healthcare encounters deemed important to the patient</w:t>
      </w:r>
      <w:r>
        <w:rPr>
          <w:rFonts w:ascii="Lato" w:hAnsi="Lato"/>
          <w:sz w:val="20"/>
          <w:szCs w:val="20"/>
        </w:rPr>
        <w:t xml:space="preserve">, making it easier for them to share and manage their health data. </w:t>
      </w:r>
      <w:r w:rsidRPr="00217D5E">
        <w:rPr>
          <w:rFonts w:ascii="Lato" w:hAnsi="Lato"/>
          <w:sz w:val="20"/>
          <w:szCs w:val="20"/>
        </w:rPr>
        <w:t>The benefits of such a record include increased patient engagement (PE), safety against interoperability issues when seeing providers outside the patient’s usual health system, and easy access</w:t>
      </w:r>
      <w:r>
        <w:rPr>
          <w:rFonts w:ascii="Lato" w:hAnsi="Lato"/>
          <w:sz w:val="20"/>
          <w:szCs w:val="20"/>
        </w:rPr>
        <w:t xml:space="preserve"> to records</w:t>
      </w:r>
      <w:r w:rsidRPr="00217D5E">
        <w:rPr>
          <w:rFonts w:ascii="Lato" w:hAnsi="Lato"/>
          <w:sz w:val="20"/>
          <w:szCs w:val="20"/>
        </w:rPr>
        <w:t xml:space="preserve"> (</w:t>
      </w:r>
      <w:proofErr w:type="spellStart"/>
      <w:r w:rsidRPr="00217D5E">
        <w:rPr>
          <w:rFonts w:ascii="Lato" w:hAnsi="Lato"/>
          <w:sz w:val="20"/>
          <w:szCs w:val="20"/>
        </w:rPr>
        <w:t>Alsahafi</w:t>
      </w:r>
      <w:proofErr w:type="spellEnd"/>
      <w:r w:rsidRPr="00217D5E">
        <w:rPr>
          <w:rFonts w:ascii="Lato" w:hAnsi="Lato"/>
          <w:sz w:val="20"/>
          <w:szCs w:val="20"/>
        </w:rPr>
        <w:t xml:space="preserve"> &amp; Gay, 2018). Despite the advantages to having a PHR, many organizations have not yet created a viable method for their inclusion within the EHR. This paper will examine the current use of PHRs, a current state intake workflow analysis of an ambulatory clinic, and a future workflow plan based on that analysis and pertinent research. </w:t>
      </w:r>
    </w:p>
    <w:p w14:paraId="1A66731E" w14:textId="77777777" w:rsidR="00985F05" w:rsidRPr="00217D5E" w:rsidRDefault="00985F05" w:rsidP="00985F05">
      <w:pPr>
        <w:pStyle w:val="Default"/>
        <w:jc w:val="center"/>
        <w:rPr>
          <w:rFonts w:ascii="Lato" w:hAnsi="Lato"/>
          <w:b/>
          <w:bCs/>
          <w:sz w:val="20"/>
          <w:szCs w:val="20"/>
        </w:rPr>
      </w:pPr>
      <w:r w:rsidRPr="00217D5E">
        <w:rPr>
          <w:rFonts w:ascii="Lato" w:hAnsi="Lato"/>
          <w:b/>
          <w:bCs/>
          <w:sz w:val="20"/>
          <w:szCs w:val="20"/>
        </w:rPr>
        <w:t>Current Use of Personal Health Records</w:t>
      </w:r>
    </w:p>
    <w:p w14:paraId="675AF39A" w14:textId="77777777" w:rsidR="00985F05" w:rsidRPr="00217D5E" w:rsidRDefault="00985F05" w:rsidP="00985F05">
      <w:pPr>
        <w:pStyle w:val="Default"/>
        <w:jc w:val="center"/>
        <w:rPr>
          <w:rFonts w:ascii="Lato" w:hAnsi="Lato"/>
          <w:sz w:val="20"/>
          <w:szCs w:val="20"/>
        </w:rPr>
      </w:pPr>
    </w:p>
    <w:p w14:paraId="27405382" w14:textId="77777777" w:rsidR="00985F05" w:rsidRPr="00217D5E" w:rsidRDefault="00985F05" w:rsidP="00985F05">
      <w:pPr>
        <w:spacing w:after="0" w:line="480" w:lineRule="auto"/>
        <w:rPr>
          <w:rFonts w:ascii="Lato" w:hAnsi="Lato"/>
          <w:b/>
          <w:bCs/>
          <w:sz w:val="20"/>
          <w:szCs w:val="20"/>
        </w:rPr>
      </w:pPr>
      <w:r w:rsidRPr="00217D5E">
        <w:rPr>
          <w:rFonts w:ascii="Lato" w:hAnsi="Lato"/>
          <w:b/>
          <w:bCs/>
          <w:sz w:val="20"/>
          <w:szCs w:val="20"/>
        </w:rPr>
        <w:t>Value of PHR</w:t>
      </w:r>
    </w:p>
    <w:p w14:paraId="69D05FAA" w14:textId="709AE18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 xml:space="preserve">The value of PHRs has been recognized throughout healthcare literature. One of the first studies to look at the fiscal benefits was by </w:t>
      </w:r>
      <w:proofErr w:type="spellStart"/>
      <w:r w:rsidRPr="00217D5E">
        <w:rPr>
          <w:rFonts w:ascii="Lato" w:hAnsi="Lato"/>
          <w:sz w:val="20"/>
          <w:szCs w:val="20"/>
        </w:rPr>
        <w:t>Kaelber</w:t>
      </w:r>
      <w:proofErr w:type="spellEnd"/>
      <w:r w:rsidRPr="00217D5E">
        <w:rPr>
          <w:rFonts w:ascii="Lato" w:hAnsi="Lato"/>
          <w:sz w:val="20"/>
          <w:szCs w:val="20"/>
        </w:rPr>
        <w:t xml:space="preserve"> and Pan (2008), </w:t>
      </w:r>
      <w:r>
        <w:rPr>
          <w:rFonts w:ascii="Lato" w:hAnsi="Lato"/>
          <w:sz w:val="20"/>
          <w:szCs w:val="20"/>
        </w:rPr>
        <w:t xml:space="preserve">who reported </w:t>
      </w:r>
      <w:r w:rsidRPr="00217D5E">
        <w:rPr>
          <w:rFonts w:ascii="Lato" w:hAnsi="Lato"/>
          <w:sz w:val="20"/>
          <w:szCs w:val="20"/>
        </w:rPr>
        <w:t xml:space="preserve">that initial start-up costs aside, PHRs could offer organizations billions in cost savings. The findings of </w:t>
      </w:r>
      <w:proofErr w:type="spellStart"/>
      <w:r w:rsidRPr="00217D5E">
        <w:rPr>
          <w:rFonts w:ascii="Lato" w:hAnsi="Lato"/>
          <w:sz w:val="20"/>
          <w:szCs w:val="20"/>
        </w:rPr>
        <w:t>Ruhi</w:t>
      </w:r>
      <w:proofErr w:type="spellEnd"/>
      <w:r w:rsidRPr="00217D5E">
        <w:rPr>
          <w:rFonts w:ascii="Lato" w:hAnsi="Lato"/>
          <w:sz w:val="20"/>
          <w:szCs w:val="20"/>
        </w:rPr>
        <w:t xml:space="preserve"> and Chugh (2021) also highlighted financial benefits to organizations related to </w:t>
      </w:r>
      <w:r>
        <w:rPr>
          <w:rFonts w:ascii="Lato" w:hAnsi="Lato"/>
          <w:sz w:val="20"/>
          <w:szCs w:val="20"/>
        </w:rPr>
        <w:t xml:space="preserve">increased efficiency </w:t>
      </w:r>
      <w:r w:rsidRPr="00217D5E">
        <w:rPr>
          <w:rFonts w:ascii="Lato" w:hAnsi="Lato"/>
          <w:sz w:val="20"/>
          <w:szCs w:val="20"/>
        </w:rPr>
        <w:t>and the ability to avoid duplicative tests as patients can share results from specialists with their primary provider. The integration of patient-generated health data (PGHD) int the EHR is a formidable goal of the Agency for Healthcare Research and Quality (AHRQ). According to the AHRQ (</w:t>
      </w:r>
      <w:proofErr w:type="spellStart"/>
      <w:r w:rsidRPr="00217D5E">
        <w:rPr>
          <w:rFonts w:ascii="Lato" w:hAnsi="Lato"/>
          <w:sz w:val="20"/>
          <w:szCs w:val="20"/>
        </w:rPr>
        <w:t>n.d.</w:t>
      </w:r>
      <w:r>
        <w:rPr>
          <w:rFonts w:ascii="Lato" w:hAnsi="Lato"/>
          <w:sz w:val="20"/>
          <w:szCs w:val="20"/>
        </w:rPr>
        <w:t>a</w:t>
      </w:r>
      <w:proofErr w:type="spellEnd"/>
      <w:r w:rsidRPr="00217D5E">
        <w:rPr>
          <w:rFonts w:ascii="Lato" w:hAnsi="Lato"/>
          <w:sz w:val="20"/>
          <w:szCs w:val="20"/>
        </w:rPr>
        <w:t xml:space="preserve">) studies are currently underway to explore ways in which data can be incorporated into the EHR, adding important information for more thorough clinical decision making.  </w:t>
      </w:r>
      <w:r w:rsidR="000A26EC">
        <w:rPr>
          <w:rFonts w:ascii="Lato" w:hAnsi="Lato"/>
          <w:sz w:val="20"/>
          <w:szCs w:val="20"/>
        </w:rPr>
        <w:t xml:space="preserve"> </w:t>
      </w:r>
    </w:p>
    <w:p w14:paraId="79F2FADC" w14:textId="77777777" w:rsidR="00985F05" w:rsidRPr="00217D5E" w:rsidRDefault="00985F05" w:rsidP="00985F05">
      <w:pPr>
        <w:spacing w:after="0" w:line="480" w:lineRule="auto"/>
        <w:rPr>
          <w:rFonts w:ascii="Lato" w:hAnsi="Lato"/>
          <w:b/>
          <w:bCs/>
          <w:sz w:val="20"/>
          <w:szCs w:val="20"/>
        </w:rPr>
      </w:pPr>
      <w:r w:rsidRPr="00217D5E">
        <w:rPr>
          <w:rFonts w:ascii="Lato" w:hAnsi="Lato"/>
          <w:b/>
          <w:bCs/>
          <w:sz w:val="20"/>
          <w:szCs w:val="20"/>
        </w:rPr>
        <w:t xml:space="preserve">PGHD Efficiencies </w:t>
      </w:r>
    </w:p>
    <w:p w14:paraId="798EBEA8" w14:textId="77777777" w:rsidR="00985F05" w:rsidRPr="00217D5E" w:rsidRDefault="00985F05" w:rsidP="00985F05">
      <w:pPr>
        <w:autoSpaceDE w:val="0"/>
        <w:autoSpaceDN w:val="0"/>
        <w:adjustRightInd w:val="0"/>
        <w:spacing w:after="0" w:line="480" w:lineRule="auto"/>
        <w:ind w:firstLine="720"/>
        <w:rPr>
          <w:rFonts w:ascii="Lato" w:hAnsi="Lato" w:cs="AdvPSSAB-R"/>
          <w:color w:val="000000"/>
          <w:kern w:val="0"/>
          <w:sz w:val="20"/>
          <w:szCs w:val="20"/>
        </w:rPr>
      </w:pPr>
      <w:r w:rsidRPr="00217D5E">
        <w:rPr>
          <w:rFonts w:ascii="Lato" w:hAnsi="Lato"/>
          <w:sz w:val="20"/>
          <w:szCs w:val="20"/>
        </w:rPr>
        <w:t xml:space="preserve">Efficiencies made possible by PGHD collection are largely around the capturing of data from multiple patient sources such as wearables, and other remote-monitoring devices. </w:t>
      </w:r>
      <w:r w:rsidRPr="00217D5E">
        <w:rPr>
          <w:rFonts w:ascii="Lato" w:hAnsi="Lato" w:cs="AdvPSSAB-R"/>
          <w:color w:val="000000"/>
          <w:kern w:val="0"/>
          <w:sz w:val="20"/>
          <w:szCs w:val="20"/>
        </w:rPr>
        <w:t>According to Walker et al. (2017), PHR’s “are a central component of PE, particularly for patients attempting to self-manage chronic conditions</w:t>
      </w:r>
      <w:r w:rsidRPr="00217D5E">
        <w:rPr>
          <w:rFonts w:ascii="Lato" w:hAnsi="Lato" w:cs="AdvPSSAB-R"/>
          <w:color w:val="0000FF"/>
          <w:kern w:val="0"/>
          <w:sz w:val="20"/>
          <w:szCs w:val="20"/>
        </w:rPr>
        <w:t xml:space="preserve"> </w:t>
      </w:r>
      <w:r w:rsidRPr="00217D5E">
        <w:rPr>
          <w:rFonts w:ascii="Lato" w:hAnsi="Lato" w:cs="AdvPSSAB-R"/>
          <w:color w:val="000000"/>
          <w:kern w:val="0"/>
          <w:sz w:val="20"/>
          <w:szCs w:val="20"/>
        </w:rPr>
        <w:t xml:space="preserve">because they allow patients to input and track health information” (para. 2). Hussein et </w:t>
      </w:r>
      <w:r w:rsidRPr="00217D5E">
        <w:rPr>
          <w:rFonts w:ascii="Lato" w:hAnsi="Lato" w:cs="AdvPSSAB-R"/>
          <w:color w:val="000000"/>
          <w:kern w:val="0"/>
          <w:sz w:val="20"/>
          <w:szCs w:val="20"/>
        </w:rPr>
        <w:lastRenderedPageBreak/>
        <w:t xml:space="preserve">al. (2021) praised the collection and use of remote-monitoring data for its ability to provide color to an otherwise black and white condition. Other efficiencies include the ability to receive faster interventions. For example, a provider noting an upward trend in blood pressure as demonstrated by PGHD could increase a patient’s dose of blood pressure medication instead of the patient having to wait for an upcoming appointment. </w:t>
      </w:r>
    </w:p>
    <w:p w14:paraId="7435333B" w14:textId="77777777" w:rsidR="00985F05" w:rsidRPr="00217D5E" w:rsidRDefault="00985F05" w:rsidP="00985F05">
      <w:pPr>
        <w:spacing w:after="0" w:line="480" w:lineRule="auto"/>
        <w:rPr>
          <w:rFonts w:ascii="Lato" w:hAnsi="Lato"/>
          <w:b/>
          <w:bCs/>
          <w:sz w:val="20"/>
          <w:szCs w:val="20"/>
        </w:rPr>
      </w:pPr>
      <w:r w:rsidRPr="00217D5E">
        <w:rPr>
          <w:rFonts w:ascii="Lato" w:hAnsi="Lato"/>
          <w:b/>
          <w:bCs/>
          <w:sz w:val="20"/>
          <w:szCs w:val="20"/>
        </w:rPr>
        <w:t>Patient Engagement</w:t>
      </w:r>
    </w:p>
    <w:p w14:paraId="37FB568B" w14:textId="77777777" w:rsidR="00985F05" w:rsidRPr="00217D5E" w:rsidRDefault="00985F05" w:rsidP="00985F05">
      <w:pPr>
        <w:autoSpaceDE w:val="0"/>
        <w:autoSpaceDN w:val="0"/>
        <w:adjustRightInd w:val="0"/>
        <w:spacing w:after="0" w:line="480" w:lineRule="auto"/>
        <w:ind w:firstLine="720"/>
        <w:rPr>
          <w:rFonts w:ascii="Lato" w:hAnsi="Lato" w:cs="AdvPSSAB-R"/>
          <w:color w:val="000000"/>
          <w:kern w:val="0"/>
          <w:sz w:val="20"/>
          <w:szCs w:val="20"/>
        </w:rPr>
      </w:pPr>
      <w:r w:rsidRPr="00217D5E">
        <w:rPr>
          <w:rFonts w:ascii="Lato" w:hAnsi="Lato" w:cs="AdvPSSAB-R"/>
          <w:color w:val="000000"/>
          <w:kern w:val="0"/>
          <w:sz w:val="20"/>
          <w:szCs w:val="20"/>
        </w:rPr>
        <w:t>According to Walker et al. (2017), PHR’s “are a central component of PE, particularly for patients attempting to self-manage chronic conditions</w:t>
      </w:r>
      <w:r w:rsidRPr="00217D5E">
        <w:rPr>
          <w:rFonts w:ascii="Lato" w:hAnsi="Lato" w:cs="AdvPSSAB-R"/>
          <w:color w:val="0000FF"/>
          <w:kern w:val="0"/>
          <w:sz w:val="20"/>
          <w:szCs w:val="20"/>
        </w:rPr>
        <w:t xml:space="preserve"> </w:t>
      </w:r>
      <w:r w:rsidRPr="00217D5E">
        <w:rPr>
          <w:rFonts w:ascii="Lato" w:hAnsi="Lato" w:cs="AdvPSSAB-R"/>
          <w:color w:val="000000"/>
          <w:kern w:val="0"/>
          <w:sz w:val="20"/>
          <w:szCs w:val="20"/>
        </w:rPr>
        <w:t xml:space="preserve">because they allow patients to input and track health information” (para. 2). Technology can be developed to empower patients to monitor and manage their conditions, resulting in higher PE. Educating a patient on the importance of stress reduction is </w:t>
      </w:r>
      <w:proofErr w:type="gramStart"/>
      <w:r w:rsidRPr="00217D5E">
        <w:rPr>
          <w:rFonts w:ascii="Lato" w:hAnsi="Lato" w:cs="AdvPSSAB-R"/>
          <w:color w:val="000000"/>
          <w:kern w:val="0"/>
          <w:sz w:val="20"/>
          <w:szCs w:val="20"/>
        </w:rPr>
        <w:t>beneficial, but</w:t>
      </w:r>
      <w:proofErr w:type="gramEnd"/>
      <w:r w:rsidRPr="00217D5E">
        <w:rPr>
          <w:rFonts w:ascii="Lato" w:hAnsi="Lato" w:cs="AdvPSSAB-R"/>
          <w:color w:val="000000"/>
          <w:kern w:val="0"/>
          <w:sz w:val="20"/>
          <w:szCs w:val="20"/>
        </w:rPr>
        <w:t xml:space="preserve"> offering them a digital stress diary may have a more profound impact. Similarly, </w:t>
      </w:r>
      <w:r>
        <w:rPr>
          <w:rFonts w:ascii="Lato" w:hAnsi="Lato" w:cs="AdvPSSAB-R"/>
          <w:color w:val="000000"/>
          <w:kern w:val="0"/>
          <w:sz w:val="20"/>
          <w:szCs w:val="20"/>
        </w:rPr>
        <w:t>a patient’s ability</w:t>
      </w:r>
      <w:r w:rsidRPr="00217D5E">
        <w:rPr>
          <w:rFonts w:ascii="Lato" w:hAnsi="Lato" w:cs="AdvPSSAB-R"/>
          <w:color w:val="000000"/>
          <w:kern w:val="0"/>
          <w:sz w:val="20"/>
          <w:szCs w:val="20"/>
        </w:rPr>
        <w:t xml:space="preserve"> to communicate with their provider more often and with greater ease strengthens the PE (Walker et al., 2017). </w:t>
      </w:r>
      <w:proofErr w:type="spellStart"/>
      <w:r w:rsidRPr="00217D5E">
        <w:rPr>
          <w:rFonts w:ascii="Lato" w:hAnsi="Lato" w:cs="AdvPSSAB-R"/>
          <w:color w:val="000000"/>
          <w:kern w:val="0"/>
          <w:sz w:val="20"/>
          <w:szCs w:val="20"/>
        </w:rPr>
        <w:t>Lordon</w:t>
      </w:r>
      <w:proofErr w:type="spellEnd"/>
      <w:r w:rsidRPr="00217D5E">
        <w:rPr>
          <w:rFonts w:ascii="Lato" w:hAnsi="Lato" w:cs="AdvPSSAB-R"/>
          <w:color w:val="000000"/>
          <w:kern w:val="0"/>
          <w:sz w:val="20"/>
          <w:szCs w:val="20"/>
        </w:rPr>
        <w:t xml:space="preserve"> et al. (2020) found that when PHR design was optimal, sharing PGHD with providers supported a collaborative relationship and enhanced PE.</w:t>
      </w:r>
    </w:p>
    <w:p w14:paraId="4033F2EE" w14:textId="77777777" w:rsidR="00985F05" w:rsidRPr="00217D5E" w:rsidRDefault="00985F05" w:rsidP="00985F05">
      <w:pPr>
        <w:autoSpaceDE w:val="0"/>
        <w:autoSpaceDN w:val="0"/>
        <w:adjustRightInd w:val="0"/>
        <w:spacing w:after="0" w:line="480" w:lineRule="auto"/>
        <w:rPr>
          <w:rFonts w:ascii="Lato" w:hAnsi="Lato" w:cs="AdvPSSAB-R"/>
          <w:color w:val="000000"/>
          <w:kern w:val="0"/>
          <w:sz w:val="20"/>
          <w:szCs w:val="20"/>
        </w:rPr>
      </w:pPr>
      <w:r w:rsidRPr="00217D5E">
        <w:rPr>
          <w:rFonts w:ascii="Lato" w:hAnsi="Lato" w:cs="AdvPSSAB-R"/>
          <w:color w:val="000000"/>
          <w:kern w:val="0"/>
          <w:sz w:val="20"/>
          <w:szCs w:val="20"/>
        </w:rPr>
        <w:t xml:space="preserve"> </w:t>
      </w:r>
      <w:r w:rsidRPr="00217D5E">
        <w:rPr>
          <w:rFonts w:ascii="Lato" w:hAnsi="Lato"/>
          <w:b/>
          <w:bCs/>
          <w:sz w:val="20"/>
          <w:szCs w:val="20"/>
        </w:rPr>
        <w:t>Barriers to PGHD</w:t>
      </w:r>
      <w:r w:rsidRPr="00217D5E">
        <w:rPr>
          <w:rFonts w:ascii="Lato" w:hAnsi="Lato"/>
          <w:sz w:val="20"/>
          <w:szCs w:val="20"/>
        </w:rPr>
        <w:t xml:space="preserve"> </w:t>
      </w:r>
    </w:p>
    <w:p w14:paraId="23FB6589"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 xml:space="preserve">Barriers to PGHD can be from the perspective of the provider, the patient, or the technological limitations. Hussein et al. (2021) found that of patient fears, those related to information security was paramount, though both patients and providers worried over reimbursement costs. Provider concerns surrounded information overload, and provider uncertainty with how to process information that may be outside of their area of expertise. Technical barriers to PGHD remain interoperability failures and a lack of convention </w:t>
      </w:r>
      <w:proofErr w:type="gramStart"/>
      <w:r w:rsidRPr="00217D5E">
        <w:rPr>
          <w:rFonts w:ascii="Lato" w:hAnsi="Lato"/>
          <w:sz w:val="20"/>
          <w:szCs w:val="20"/>
        </w:rPr>
        <w:t>with regard to</w:t>
      </w:r>
      <w:proofErr w:type="gramEnd"/>
      <w:r w:rsidRPr="00217D5E">
        <w:rPr>
          <w:rFonts w:ascii="Lato" w:hAnsi="Lato"/>
          <w:sz w:val="20"/>
          <w:szCs w:val="20"/>
        </w:rPr>
        <w:t xml:space="preserve"> what and how much data to capture (Hussein et al. 2021). Another barrier to PGHD is related to health equity, as not every patient has the same access to remote monitoring tools, or has the mental, emotional, or physical ability to manage a PHR (AHRQ, 2021). </w:t>
      </w:r>
    </w:p>
    <w:p w14:paraId="7E7300C6" w14:textId="77777777" w:rsidR="00985F05" w:rsidRPr="00217D5E" w:rsidRDefault="00985F05" w:rsidP="00985F05">
      <w:pPr>
        <w:jc w:val="center"/>
        <w:rPr>
          <w:rFonts w:ascii="Lato" w:hAnsi="Lato"/>
          <w:sz w:val="20"/>
          <w:szCs w:val="20"/>
        </w:rPr>
      </w:pPr>
      <w:r w:rsidRPr="00217D5E">
        <w:rPr>
          <w:rFonts w:ascii="Lato" w:hAnsi="Lato"/>
          <w:sz w:val="20"/>
          <w:szCs w:val="20"/>
        </w:rPr>
        <w:t xml:space="preserve"> </w:t>
      </w:r>
      <w:r w:rsidRPr="00217D5E">
        <w:rPr>
          <w:rFonts w:ascii="Lato" w:hAnsi="Lato"/>
          <w:b/>
          <w:bCs/>
          <w:sz w:val="20"/>
          <w:szCs w:val="20"/>
        </w:rPr>
        <w:t>Current State Workflow Analysis</w:t>
      </w:r>
    </w:p>
    <w:p w14:paraId="1CF19B20"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 xml:space="preserve">The clinical area that was </w:t>
      </w:r>
      <w:r>
        <w:rPr>
          <w:rFonts w:ascii="Lato" w:hAnsi="Lato"/>
          <w:sz w:val="20"/>
          <w:szCs w:val="20"/>
        </w:rPr>
        <w:t xml:space="preserve">chosen for a current state workflow analysis </w:t>
      </w:r>
      <w:r w:rsidRPr="00217D5E">
        <w:rPr>
          <w:rFonts w:ascii="Lato" w:hAnsi="Lato"/>
          <w:sz w:val="20"/>
          <w:szCs w:val="20"/>
        </w:rPr>
        <w:t>was a multi-specialty suite in a medical plaza across from a hospital</w:t>
      </w:r>
      <w:r>
        <w:rPr>
          <w:rFonts w:ascii="Lato" w:hAnsi="Lato"/>
          <w:sz w:val="20"/>
          <w:szCs w:val="20"/>
        </w:rPr>
        <w:t xml:space="preserve">; </w:t>
      </w:r>
      <w:r w:rsidRPr="00217D5E">
        <w:rPr>
          <w:rFonts w:ascii="Lato" w:hAnsi="Lato"/>
          <w:sz w:val="20"/>
          <w:szCs w:val="20"/>
        </w:rPr>
        <w:t>see Appendix A for</w:t>
      </w:r>
      <w:r>
        <w:rPr>
          <w:rFonts w:ascii="Lato" w:hAnsi="Lato"/>
          <w:sz w:val="20"/>
          <w:szCs w:val="20"/>
        </w:rPr>
        <w:t xml:space="preserve"> a</w:t>
      </w:r>
      <w:r w:rsidRPr="00217D5E">
        <w:rPr>
          <w:rFonts w:ascii="Lato" w:hAnsi="Lato"/>
          <w:sz w:val="20"/>
          <w:szCs w:val="20"/>
        </w:rPr>
        <w:t xml:space="preserve"> process map of the current state workflow. The individuals in the workflow included front office staff (FOS), medical assistants (MA)’s that served the </w:t>
      </w:r>
      <w:r w:rsidRPr="00217D5E">
        <w:rPr>
          <w:rFonts w:ascii="Lato" w:hAnsi="Lato"/>
          <w:sz w:val="20"/>
          <w:szCs w:val="20"/>
        </w:rPr>
        <w:lastRenderedPageBreak/>
        <w:t>back office areas, and advanced practice providers (APP)’s. Linear key steps in the workflow included patient check</w:t>
      </w:r>
      <w:r>
        <w:rPr>
          <w:rFonts w:ascii="Lato" w:hAnsi="Lato"/>
          <w:sz w:val="20"/>
          <w:szCs w:val="20"/>
        </w:rPr>
        <w:t>-</w:t>
      </w:r>
      <w:r w:rsidRPr="00217D5E">
        <w:rPr>
          <w:rFonts w:ascii="Lato" w:hAnsi="Lato"/>
          <w:sz w:val="20"/>
          <w:szCs w:val="20"/>
        </w:rPr>
        <w:t xml:space="preserve">in with FOS in the lobby, </w:t>
      </w:r>
      <w:r>
        <w:rPr>
          <w:rFonts w:ascii="Lato" w:hAnsi="Lato"/>
          <w:sz w:val="20"/>
          <w:szCs w:val="20"/>
        </w:rPr>
        <w:t xml:space="preserve">the patient </w:t>
      </w:r>
      <w:r w:rsidRPr="00217D5E">
        <w:rPr>
          <w:rFonts w:ascii="Lato" w:hAnsi="Lato"/>
          <w:sz w:val="20"/>
          <w:szCs w:val="20"/>
        </w:rPr>
        <w:t xml:space="preserve">being greeted by the MA and escorted to the back office area, the measurement of patient vital signs by the MA, patient rooming by the MA, basic health status and vital signs documentation by the MA, the patient’s visit with the APP, and the patient’s return to the lobby via MA escort, so that the next appointment could be scheduled by the FOS. </w:t>
      </w:r>
    </w:p>
    <w:p w14:paraId="7BD8E361"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Decision points of note were if the patient</w:t>
      </w:r>
      <w:r>
        <w:rPr>
          <w:rFonts w:ascii="Lato" w:hAnsi="Lato"/>
          <w:sz w:val="20"/>
          <w:szCs w:val="20"/>
        </w:rPr>
        <w:t xml:space="preserve"> was new,</w:t>
      </w:r>
      <w:r w:rsidRPr="00217D5E">
        <w:rPr>
          <w:rFonts w:ascii="Lato" w:hAnsi="Lato"/>
          <w:sz w:val="20"/>
          <w:szCs w:val="20"/>
        </w:rPr>
        <w:t xml:space="preserve"> or any of </w:t>
      </w:r>
      <w:r>
        <w:rPr>
          <w:rFonts w:ascii="Lato" w:hAnsi="Lato"/>
          <w:sz w:val="20"/>
          <w:szCs w:val="20"/>
        </w:rPr>
        <w:t>an established patient’s</w:t>
      </w:r>
      <w:r w:rsidRPr="00217D5E">
        <w:rPr>
          <w:rFonts w:ascii="Lato" w:hAnsi="Lato"/>
          <w:sz w:val="20"/>
          <w:szCs w:val="20"/>
        </w:rPr>
        <w:t xml:space="preserve"> information was new, which required patient interaction and adjustment by the FOS. Another decision point near the end of the visit occurred when the APP needed to determine if the patient was ready for discharge, or if the MA needed to perform closing procedures or tasks prior to discharge. </w:t>
      </w:r>
    </w:p>
    <w:p w14:paraId="4A97E863"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 xml:space="preserve">Tools utilized were paper documents by FOS, and a computer to manually enter demographics and financial information about the patient as needed. A card scanner was ready so that FOS could scan patient identification and insurance information into Epic. Technology utilized included a vital signs machine in the back-office area, and a thin client loaded with Epic software inside the exam room. Room status lights were used to flag providers and back-office staff of the need for the MA or APP to present to the patient’s exam room. A printer </w:t>
      </w:r>
      <w:r>
        <w:rPr>
          <w:rFonts w:ascii="Lato" w:hAnsi="Lato"/>
          <w:sz w:val="20"/>
          <w:szCs w:val="20"/>
        </w:rPr>
        <w:t xml:space="preserve">in the back-office area </w:t>
      </w:r>
      <w:r w:rsidRPr="00217D5E">
        <w:rPr>
          <w:rFonts w:ascii="Lato" w:hAnsi="Lato"/>
          <w:sz w:val="20"/>
          <w:szCs w:val="20"/>
        </w:rPr>
        <w:t xml:space="preserve">was utilized to create a paper after visit summary (AVS) that the MA could give to the patient upon discharge. Once the patient was escorted back to the lobby, the FOS used computers to schedule any follow up visits. Tools utilized included a cash bag to collect copays or any incidental fees. FOS documented the receipt of any payments in their computer. </w:t>
      </w:r>
    </w:p>
    <w:p w14:paraId="40BB0A63"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The greatest inefficiency noted during assessment was the use of in-person visits that could have been virtual. The site I visited does participate in telemedicine, but there is a lot more opportunity for remote visits. In terms of in-person workflow, most of the inefficiencies were related to staff-dependent manual processes that could be automated in a multitude of ways. The need for a team of FOS seemed like an obvious area for improvement. Switching check</w:t>
      </w:r>
      <w:r>
        <w:rPr>
          <w:rFonts w:ascii="Lato" w:hAnsi="Lato"/>
          <w:sz w:val="20"/>
          <w:szCs w:val="20"/>
        </w:rPr>
        <w:t>-</w:t>
      </w:r>
      <w:r w:rsidRPr="00217D5E">
        <w:rPr>
          <w:rFonts w:ascii="Lato" w:hAnsi="Lato"/>
          <w:sz w:val="20"/>
          <w:szCs w:val="20"/>
        </w:rPr>
        <w:t>in procedures from FOS to an electronic check in process would be a good start. For patients that are unable to check in via the patient portal, an alternative automated check</w:t>
      </w:r>
      <w:r>
        <w:rPr>
          <w:rFonts w:ascii="Lato" w:hAnsi="Lato"/>
          <w:sz w:val="20"/>
          <w:szCs w:val="20"/>
        </w:rPr>
        <w:t>-</w:t>
      </w:r>
      <w:r w:rsidRPr="00217D5E">
        <w:rPr>
          <w:rFonts w:ascii="Lato" w:hAnsi="Lato"/>
          <w:sz w:val="20"/>
          <w:szCs w:val="20"/>
        </w:rPr>
        <w:t>in process could be utilized, a concept that will be expanded on</w:t>
      </w:r>
      <w:r>
        <w:rPr>
          <w:rFonts w:ascii="Lato" w:hAnsi="Lato"/>
          <w:sz w:val="20"/>
          <w:szCs w:val="20"/>
        </w:rPr>
        <w:t xml:space="preserve"> shortly.</w:t>
      </w:r>
    </w:p>
    <w:p w14:paraId="628A4B6F"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Medical assistants taking every patient’s vitals before every appointment also seems superfluous</w:t>
      </w:r>
      <w:r>
        <w:rPr>
          <w:rFonts w:ascii="Lato" w:hAnsi="Lato"/>
          <w:sz w:val="20"/>
          <w:szCs w:val="20"/>
        </w:rPr>
        <w:t>, especially given the potential use of PGHD</w:t>
      </w:r>
      <w:r w:rsidRPr="00217D5E">
        <w:rPr>
          <w:rFonts w:ascii="Lato" w:hAnsi="Lato"/>
          <w:sz w:val="20"/>
          <w:szCs w:val="20"/>
        </w:rPr>
        <w:t xml:space="preserve">. Unless there are extenuating circumstances, </w:t>
      </w:r>
      <w:proofErr w:type="gramStart"/>
      <w:r w:rsidRPr="00217D5E">
        <w:rPr>
          <w:rFonts w:ascii="Lato" w:hAnsi="Lato"/>
          <w:sz w:val="20"/>
          <w:szCs w:val="20"/>
        </w:rPr>
        <w:t>MA’s</w:t>
      </w:r>
      <w:proofErr w:type="gramEnd"/>
      <w:r w:rsidRPr="00217D5E">
        <w:rPr>
          <w:rFonts w:ascii="Lato" w:hAnsi="Lato"/>
          <w:sz w:val="20"/>
          <w:szCs w:val="20"/>
        </w:rPr>
        <w:t xml:space="preserve"> should not </w:t>
      </w:r>
      <w:r w:rsidRPr="00217D5E">
        <w:rPr>
          <w:rFonts w:ascii="Lato" w:hAnsi="Lato"/>
          <w:sz w:val="20"/>
          <w:szCs w:val="20"/>
        </w:rPr>
        <w:lastRenderedPageBreak/>
        <w:t>have to perform a great deal of charting</w:t>
      </w:r>
      <w:r>
        <w:rPr>
          <w:rFonts w:ascii="Lato" w:hAnsi="Lato"/>
          <w:sz w:val="20"/>
          <w:szCs w:val="20"/>
        </w:rPr>
        <w:t xml:space="preserve">, which they currently do. </w:t>
      </w:r>
      <w:r w:rsidRPr="00217D5E">
        <w:rPr>
          <w:rFonts w:ascii="Lato" w:hAnsi="Lato"/>
          <w:sz w:val="20"/>
          <w:szCs w:val="20"/>
        </w:rPr>
        <w:t xml:space="preserve">Much of the information they collect could be completed by the patient via their portal, prior to the in-person visit. Having to log into the EHR manually seems outdated, especially since biometrics are more efficient and more secure than usernames and passwords (Hebda et al, 2019). Having to print </w:t>
      </w:r>
      <w:r>
        <w:rPr>
          <w:rFonts w:ascii="Lato" w:hAnsi="Lato"/>
          <w:sz w:val="20"/>
          <w:szCs w:val="20"/>
        </w:rPr>
        <w:t>an</w:t>
      </w:r>
      <w:r w:rsidRPr="00217D5E">
        <w:rPr>
          <w:rFonts w:ascii="Lato" w:hAnsi="Lato"/>
          <w:sz w:val="20"/>
          <w:szCs w:val="20"/>
        </w:rPr>
        <w:t xml:space="preserve"> AVS </w:t>
      </w:r>
      <w:r>
        <w:rPr>
          <w:rFonts w:ascii="Lato" w:hAnsi="Lato"/>
          <w:sz w:val="20"/>
          <w:szCs w:val="20"/>
        </w:rPr>
        <w:t xml:space="preserve">also </w:t>
      </w:r>
      <w:r w:rsidRPr="00217D5E">
        <w:rPr>
          <w:rFonts w:ascii="Lato" w:hAnsi="Lato"/>
          <w:sz w:val="20"/>
          <w:szCs w:val="20"/>
        </w:rPr>
        <w:t xml:space="preserve">seems </w:t>
      </w:r>
      <w:r>
        <w:rPr>
          <w:rFonts w:ascii="Lato" w:hAnsi="Lato"/>
          <w:sz w:val="20"/>
          <w:szCs w:val="20"/>
        </w:rPr>
        <w:t>unnecessary.</w:t>
      </w:r>
      <w:r w:rsidRPr="00217D5E">
        <w:rPr>
          <w:rFonts w:ascii="Lato" w:hAnsi="Lato"/>
          <w:sz w:val="20"/>
          <w:szCs w:val="20"/>
        </w:rPr>
        <w:t xml:space="preserve"> </w:t>
      </w:r>
    </w:p>
    <w:p w14:paraId="6E7CC87F" w14:textId="77777777" w:rsidR="00985F05" w:rsidRPr="00217D5E" w:rsidRDefault="00985F05" w:rsidP="00985F05">
      <w:pPr>
        <w:spacing w:after="0" w:line="480" w:lineRule="auto"/>
        <w:ind w:firstLine="720"/>
        <w:rPr>
          <w:rFonts w:ascii="Lato" w:hAnsi="Lato"/>
          <w:sz w:val="20"/>
          <w:szCs w:val="20"/>
        </w:rPr>
      </w:pPr>
      <w:r w:rsidRPr="00217D5E">
        <w:rPr>
          <w:rFonts w:ascii="Lato" w:hAnsi="Lato"/>
          <w:sz w:val="20"/>
          <w:szCs w:val="20"/>
        </w:rPr>
        <w:t>Finally, escorting the patient to the lobby for another encounter with the FOS could be eliminated. Follow</w:t>
      </w:r>
      <w:r>
        <w:rPr>
          <w:rFonts w:ascii="Lato" w:hAnsi="Lato"/>
          <w:sz w:val="20"/>
          <w:szCs w:val="20"/>
        </w:rPr>
        <w:t>-</w:t>
      </w:r>
      <w:r w:rsidRPr="00217D5E">
        <w:rPr>
          <w:rFonts w:ascii="Lato" w:hAnsi="Lato"/>
          <w:sz w:val="20"/>
          <w:szCs w:val="20"/>
        </w:rPr>
        <w:t xml:space="preserve">up appointments could be scheduled via the patient portal, and the collection of fees could be reimagined. This would require some healthcare organizations (HCOs) to redesign some of their outdated key performance indicators (KPI)’s like the goal of collecting copays before the patient leaves. This KPI could instead be shifted to a goal of automatic copay collection prior to the visit via the patient portal. Even parking validation could easily be automated.  </w:t>
      </w:r>
    </w:p>
    <w:p w14:paraId="4424B4E9" w14:textId="77777777" w:rsidR="00985F05" w:rsidRPr="00AC31D9" w:rsidRDefault="00985F05" w:rsidP="00985F05">
      <w:pPr>
        <w:jc w:val="center"/>
        <w:rPr>
          <w:rFonts w:ascii="Lato" w:hAnsi="Lato"/>
          <w:b/>
          <w:bCs/>
          <w:sz w:val="20"/>
          <w:szCs w:val="20"/>
        </w:rPr>
      </w:pPr>
      <w:r w:rsidRPr="00AC31D9">
        <w:rPr>
          <w:rFonts w:ascii="Lato" w:hAnsi="Lato"/>
          <w:b/>
          <w:bCs/>
          <w:sz w:val="20"/>
          <w:szCs w:val="20"/>
        </w:rPr>
        <w:t>Future State Workflow Planning</w:t>
      </w:r>
    </w:p>
    <w:p w14:paraId="4F3D2363" w14:textId="77777777" w:rsidR="00985F05" w:rsidRDefault="00985F05" w:rsidP="00985F05">
      <w:pPr>
        <w:spacing w:after="0" w:line="480" w:lineRule="auto"/>
        <w:ind w:firstLine="720"/>
        <w:rPr>
          <w:rFonts w:ascii="Lato" w:hAnsi="Lato"/>
          <w:sz w:val="20"/>
          <w:szCs w:val="20"/>
        </w:rPr>
      </w:pPr>
      <w:r>
        <w:rPr>
          <w:rFonts w:ascii="Lato" w:hAnsi="Lato"/>
          <w:sz w:val="20"/>
          <w:szCs w:val="20"/>
        </w:rPr>
        <w:t>When designing the future state workflow, the first change was to reduce the number of tasks completed inside the clinic; see Appendix B for a process map of the future state workflow. The goal was to create a “smart clinic”, and o</w:t>
      </w:r>
      <w:r w:rsidRPr="00D87B6C">
        <w:rPr>
          <w:rFonts w:ascii="Lato" w:hAnsi="Lato"/>
          <w:sz w:val="20"/>
          <w:szCs w:val="20"/>
        </w:rPr>
        <w:t>ff</w:t>
      </w:r>
      <w:r>
        <w:rPr>
          <w:rFonts w:ascii="Lato" w:hAnsi="Lato"/>
          <w:sz w:val="20"/>
          <w:szCs w:val="20"/>
        </w:rPr>
        <w:t>-</w:t>
      </w:r>
      <w:r w:rsidRPr="00D87B6C">
        <w:rPr>
          <w:rFonts w:ascii="Lato" w:hAnsi="Lato"/>
          <w:sz w:val="20"/>
          <w:szCs w:val="20"/>
        </w:rPr>
        <w:t>campus activities</w:t>
      </w:r>
      <w:r w:rsidRPr="007776C0">
        <w:rPr>
          <w:rFonts w:ascii="Lato" w:hAnsi="Lato"/>
          <w:sz w:val="20"/>
          <w:szCs w:val="20"/>
        </w:rPr>
        <w:t xml:space="preserve"> </w:t>
      </w:r>
      <w:r>
        <w:rPr>
          <w:rFonts w:ascii="Lato" w:hAnsi="Lato"/>
          <w:sz w:val="20"/>
          <w:szCs w:val="20"/>
        </w:rPr>
        <w:t xml:space="preserve">were </w:t>
      </w:r>
      <w:r w:rsidRPr="007776C0">
        <w:rPr>
          <w:rFonts w:ascii="Lato" w:hAnsi="Lato"/>
          <w:sz w:val="20"/>
          <w:szCs w:val="20"/>
        </w:rPr>
        <w:t xml:space="preserve">designed with the personal health record in mind. </w:t>
      </w:r>
      <w:r>
        <w:rPr>
          <w:rFonts w:ascii="Lato" w:hAnsi="Lato"/>
          <w:sz w:val="20"/>
          <w:szCs w:val="20"/>
        </w:rPr>
        <w:t>Care</w:t>
      </w:r>
      <w:r w:rsidRPr="007776C0">
        <w:rPr>
          <w:rFonts w:ascii="Lato" w:hAnsi="Lato"/>
          <w:sz w:val="20"/>
          <w:szCs w:val="20"/>
        </w:rPr>
        <w:t xml:space="preserve"> was taken to plan for patients that </w:t>
      </w:r>
      <w:r>
        <w:rPr>
          <w:rFonts w:ascii="Lato" w:hAnsi="Lato"/>
          <w:sz w:val="20"/>
          <w:szCs w:val="20"/>
        </w:rPr>
        <w:t>are new to a smart clinic or established patients who are having technological issues that need to be addressed by IT</w:t>
      </w:r>
      <w:r w:rsidRPr="007776C0">
        <w:rPr>
          <w:rFonts w:ascii="Lato" w:hAnsi="Lato"/>
          <w:sz w:val="20"/>
          <w:szCs w:val="20"/>
        </w:rPr>
        <w:t>.</w:t>
      </w:r>
      <w:r>
        <w:rPr>
          <w:rFonts w:ascii="Lato" w:hAnsi="Lato"/>
          <w:sz w:val="20"/>
          <w:szCs w:val="20"/>
        </w:rPr>
        <w:t xml:space="preserve"> The workflow begins with a patient calling to make an appointment. </w:t>
      </w:r>
      <w:r w:rsidRPr="00FA06E9">
        <w:rPr>
          <w:rFonts w:ascii="Lato" w:hAnsi="Lato"/>
          <w:sz w:val="20"/>
          <w:szCs w:val="20"/>
        </w:rPr>
        <w:t>An established patient w</w:t>
      </w:r>
      <w:r>
        <w:rPr>
          <w:rFonts w:ascii="Lato" w:hAnsi="Lato"/>
          <w:sz w:val="20"/>
          <w:szCs w:val="20"/>
        </w:rPr>
        <w:t>ill</w:t>
      </w:r>
      <w:r w:rsidRPr="00FA06E9">
        <w:rPr>
          <w:rFonts w:ascii="Lato" w:hAnsi="Lato"/>
          <w:sz w:val="20"/>
          <w:szCs w:val="20"/>
        </w:rPr>
        <w:t xml:space="preserve"> trigger a</w:t>
      </w:r>
      <w:r>
        <w:rPr>
          <w:rFonts w:ascii="Lato" w:hAnsi="Lato"/>
          <w:sz w:val="20"/>
          <w:szCs w:val="20"/>
        </w:rPr>
        <w:t xml:space="preserve"> quick </w:t>
      </w:r>
      <w:r w:rsidRPr="00FA06E9">
        <w:rPr>
          <w:rFonts w:ascii="Lato" w:hAnsi="Lato"/>
          <w:sz w:val="20"/>
          <w:szCs w:val="20"/>
        </w:rPr>
        <w:t xml:space="preserve">analysis </w:t>
      </w:r>
      <w:r>
        <w:rPr>
          <w:rFonts w:ascii="Lato" w:hAnsi="Lato"/>
          <w:sz w:val="20"/>
          <w:szCs w:val="20"/>
        </w:rPr>
        <w:t>to assure that</w:t>
      </w:r>
      <w:r w:rsidRPr="009E3F51">
        <w:rPr>
          <w:rFonts w:ascii="Lato" w:hAnsi="Lato"/>
          <w:sz w:val="20"/>
          <w:szCs w:val="20"/>
        </w:rPr>
        <w:t xml:space="preserve"> </w:t>
      </w:r>
      <w:r>
        <w:rPr>
          <w:rFonts w:ascii="Lato" w:hAnsi="Lato"/>
          <w:sz w:val="20"/>
          <w:szCs w:val="20"/>
        </w:rPr>
        <w:t>PGHD</w:t>
      </w:r>
      <w:r w:rsidRPr="009E3F51">
        <w:rPr>
          <w:rFonts w:ascii="Lato" w:hAnsi="Lato"/>
          <w:sz w:val="20"/>
          <w:szCs w:val="20"/>
        </w:rPr>
        <w:t xml:space="preserve"> </w:t>
      </w:r>
      <w:r>
        <w:rPr>
          <w:rFonts w:ascii="Lato" w:hAnsi="Lato"/>
          <w:sz w:val="20"/>
          <w:szCs w:val="20"/>
        </w:rPr>
        <w:t>is flowing into the EHR.</w:t>
      </w:r>
      <w:r w:rsidRPr="009E3F51">
        <w:rPr>
          <w:rFonts w:ascii="Lato" w:hAnsi="Lato"/>
          <w:sz w:val="20"/>
          <w:szCs w:val="20"/>
        </w:rPr>
        <w:t xml:space="preserve"> A new patient calling for an appointment</w:t>
      </w:r>
      <w:r w:rsidRPr="009A1C8D">
        <w:rPr>
          <w:rFonts w:ascii="Lato" w:hAnsi="Lato"/>
          <w:sz w:val="20"/>
          <w:szCs w:val="20"/>
        </w:rPr>
        <w:t xml:space="preserve"> w</w:t>
      </w:r>
      <w:r>
        <w:rPr>
          <w:rFonts w:ascii="Lato" w:hAnsi="Lato"/>
          <w:sz w:val="20"/>
          <w:szCs w:val="20"/>
        </w:rPr>
        <w:t>ill</w:t>
      </w:r>
      <w:r w:rsidRPr="009A1C8D">
        <w:rPr>
          <w:rFonts w:ascii="Lato" w:hAnsi="Lato"/>
          <w:sz w:val="20"/>
          <w:szCs w:val="20"/>
        </w:rPr>
        <w:t xml:space="preserve"> trigger</w:t>
      </w:r>
      <w:r>
        <w:rPr>
          <w:rFonts w:ascii="Lato" w:hAnsi="Lato"/>
          <w:sz w:val="20"/>
          <w:szCs w:val="20"/>
        </w:rPr>
        <w:t xml:space="preserve"> </w:t>
      </w:r>
      <w:r w:rsidRPr="0029289C">
        <w:rPr>
          <w:rFonts w:ascii="Lato" w:hAnsi="Lato"/>
          <w:sz w:val="20"/>
          <w:szCs w:val="20"/>
        </w:rPr>
        <w:t>the transfer</w:t>
      </w:r>
      <w:r>
        <w:rPr>
          <w:rFonts w:ascii="Lato" w:hAnsi="Lato"/>
          <w:sz w:val="20"/>
          <w:szCs w:val="20"/>
        </w:rPr>
        <w:t xml:space="preserve"> of the call to a </w:t>
      </w:r>
      <w:r w:rsidRPr="0029289C">
        <w:rPr>
          <w:rFonts w:ascii="Lato" w:hAnsi="Lato"/>
          <w:sz w:val="20"/>
          <w:szCs w:val="20"/>
        </w:rPr>
        <w:t>triage nurse</w:t>
      </w:r>
      <w:r>
        <w:rPr>
          <w:rFonts w:ascii="Lato" w:hAnsi="Lato"/>
          <w:sz w:val="20"/>
          <w:szCs w:val="20"/>
        </w:rPr>
        <w:t xml:space="preserve"> t</w:t>
      </w:r>
      <w:r w:rsidRPr="0029289C">
        <w:rPr>
          <w:rFonts w:ascii="Lato" w:hAnsi="Lato"/>
          <w:sz w:val="20"/>
          <w:szCs w:val="20"/>
        </w:rPr>
        <w:t xml:space="preserve">hat </w:t>
      </w:r>
      <w:r>
        <w:rPr>
          <w:rFonts w:ascii="Lato" w:hAnsi="Lato"/>
          <w:sz w:val="20"/>
          <w:szCs w:val="20"/>
        </w:rPr>
        <w:t>will</w:t>
      </w:r>
      <w:r w:rsidRPr="0029289C">
        <w:rPr>
          <w:rFonts w:ascii="Lato" w:hAnsi="Lato"/>
          <w:sz w:val="20"/>
          <w:szCs w:val="20"/>
        </w:rPr>
        <w:t xml:space="preserve"> assess the patient's </w:t>
      </w:r>
      <w:r>
        <w:rPr>
          <w:rFonts w:ascii="Lato" w:hAnsi="Lato"/>
          <w:sz w:val="20"/>
          <w:szCs w:val="20"/>
        </w:rPr>
        <w:t xml:space="preserve">medical </w:t>
      </w:r>
      <w:r w:rsidRPr="0029289C">
        <w:rPr>
          <w:rFonts w:ascii="Lato" w:hAnsi="Lato"/>
          <w:sz w:val="20"/>
          <w:szCs w:val="20"/>
        </w:rPr>
        <w:t>urgency</w:t>
      </w:r>
      <w:r w:rsidRPr="00130FAB">
        <w:rPr>
          <w:rFonts w:ascii="Lato" w:hAnsi="Lato"/>
          <w:sz w:val="20"/>
          <w:szCs w:val="20"/>
        </w:rPr>
        <w:t>, a</w:t>
      </w:r>
      <w:r>
        <w:rPr>
          <w:rFonts w:ascii="Lato" w:hAnsi="Lato"/>
          <w:sz w:val="20"/>
          <w:szCs w:val="20"/>
        </w:rPr>
        <w:t>s well as</w:t>
      </w:r>
      <w:r w:rsidRPr="00130FAB">
        <w:rPr>
          <w:rFonts w:ascii="Lato" w:hAnsi="Lato"/>
          <w:sz w:val="20"/>
          <w:szCs w:val="20"/>
        </w:rPr>
        <w:t xml:space="preserve"> technology</w:t>
      </w:r>
      <w:r>
        <w:rPr>
          <w:rFonts w:ascii="Lato" w:hAnsi="Lato"/>
          <w:sz w:val="20"/>
          <w:szCs w:val="20"/>
        </w:rPr>
        <w:t>-</w:t>
      </w:r>
      <w:r w:rsidRPr="00130FAB">
        <w:rPr>
          <w:rFonts w:ascii="Lato" w:hAnsi="Lato"/>
          <w:sz w:val="20"/>
          <w:szCs w:val="20"/>
        </w:rPr>
        <w:t>related needs.</w:t>
      </w:r>
      <w:r>
        <w:rPr>
          <w:rFonts w:ascii="Lato" w:hAnsi="Lato"/>
          <w:sz w:val="20"/>
          <w:szCs w:val="20"/>
        </w:rPr>
        <w:t xml:space="preserve"> </w:t>
      </w:r>
      <w:r w:rsidRPr="00944BF1">
        <w:rPr>
          <w:rFonts w:ascii="Lato" w:hAnsi="Lato"/>
          <w:sz w:val="20"/>
          <w:szCs w:val="20"/>
        </w:rPr>
        <w:t xml:space="preserve">If the need for </w:t>
      </w:r>
      <w:r>
        <w:rPr>
          <w:rFonts w:ascii="Lato" w:hAnsi="Lato"/>
          <w:sz w:val="20"/>
          <w:szCs w:val="20"/>
        </w:rPr>
        <w:t xml:space="preserve">a </w:t>
      </w:r>
      <w:r w:rsidRPr="00944BF1">
        <w:rPr>
          <w:rFonts w:ascii="Lato" w:hAnsi="Lato"/>
          <w:sz w:val="20"/>
          <w:szCs w:val="20"/>
        </w:rPr>
        <w:t>visit is urgent</w:t>
      </w:r>
      <w:r>
        <w:rPr>
          <w:rFonts w:ascii="Lato" w:hAnsi="Lato"/>
          <w:sz w:val="20"/>
          <w:szCs w:val="20"/>
        </w:rPr>
        <w:t xml:space="preserve">, </w:t>
      </w:r>
      <w:r w:rsidRPr="00944BF1">
        <w:rPr>
          <w:rFonts w:ascii="Lato" w:hAnsi="Lato"/>
          <w:sz w:val="20"/>
          <w:szCs w:val="20"/>
        </w:rPr>
        <w:t xml:space="preserve">the triage nurse </w:t>
      </w:r>
      <w:r>
        <w:rPr>
          <w:rFonts w:ascii="Lato" w:hAnsi="Lato"/>
          <w:sz w:val="20"/>
          <w:szCs w:val="20"/>
        </w:rPr>
        <w:t>will</w:t>
      </w:r>
      <w:r w:rsidRPr="00F030C3">
        <w:rPr>
          <w:rFonts w:ascii="Lato" w:hAnsi="Lato"/>
          <w:sz w:val="20"/>
          <w:szCs w:val="20"/>
        </w:rPr>
        <w:t xml:space="preserve"> arrange for the patient to be seen in urgent care </w:t>
      </w:r>
      <w:r>
        <w:rPr>
          <w:rFonts w:ascii="Lato" w:hAnsi="Lato"/>
          <w:sz w:val="20"/>
          <w:szCs w:val="20"/>
        </w:rPr>
        <w:t>emergency department</w:t>
      </w:r>
      <w:r w:rsidRPr="00F030C3">
        <w:rPr>
          <w:rFonts w:ascii="Lato" w:hAnsi="Lato"/>
          <w:sz w:val="20"/>
          <w:szCs w:val="20"/>
        </w:rPr>
        <w:t xml:space="preserve">. If the visit is not urgent, the triage nurse </w:t>
      </w:r>
      <w:r>
        <w:rPr>
          <w:rFonts w:ascii="Lato" w:hAnsi="Lato"/>
          <w:sz w:val="20"/>
          <w:szCs w:val="20"/>
        </w:rPr>
        <w:t>will</w:t>
      </w:r>
      <w:r w:rsidRPr="00F030C3">
        <w:rPr>
          <w:rFonts w:ascii="Lato" w:hAnsi="Lato"/>
          <w:sz w:val="20"/>
          <w:szCs w:val="20"/>
        </w:rPr>
        <w:t xml:space="preserve"> perform </w:t>
      </w:r>
      <w:r>
        <w:rPr>
          <w:rFonts w:ascii="Lato" w:hAnsi="Lato"/>
          <w:sz w:val="20"/>
          <w:szCs w:val="20"/>
        </w:rPr>
        <w:t xml:space="preserve">an </w:t>
      </w:r>
      <w:r w:rsidRPr="00F030C3">
        <w:rPr>
          <w:rFonts w:ascii="Lato" w:hAnsi="Lato"/>
          <w:sz w:val="20"/>
          <w:szCs w:val="20"/>
        </w:rPr>
        <w:t>E</w:t>
      </w:r>
      <w:r>
        <w:rPr>
          <w:rFonts w:ascii="Lato" w:hAnsi="Lato"/>
          <w:sz w:val="20"/>
          <w:szCs w:val="20"/>
        </w:rPr>
        <w:t>-literacy and health-</w:t>
      </w:r>
      <w:r w:rsidRPr="00F030C3">
        <w:rPr>
          <w:rFonts w:ascii="Lato" w:hAnsi="Lato"/>
          <w:sz w:val="20"/>
          <w:szCs w:val="20"/>
        </w:rPr>
        <w:t>literacy assessment.</w:t>
      </w:r>
    </w:p>
    <w:p w14:paraId="77837783" w14:textId="77777777" w:rsidR="00985F05" w:rsidRDefault="00985F05" w:rsidP="00985F05">
      <w:pPr>
        <w:spacing w:after="0" w:line="480" w:lineRule="auto"/>
        <w:ind w:firstLine="720"/>
        <w:rPr>
          <w:rFonts w:ascii="Lato" w:hAnsi="Lato"/>
          <w:sz w:val="20"/>
          <w:szCs w:val="20"/>
        </w:rPr>
      </w:pPr>
      <w:r>
        <w:rPr>
          <w:rFonts w:ascii="Lato" w:hAnsi="Lato"/>
          <w:sz w:val="20"/>
          <w:szCs w:val="20"/>
        </w:rPr>
        <w:t xml:space="preserve">Using an 18-item questionnaire like the short assessment of health literacy- English (SAHL-e), the triage nurse will rank the patient much like they would per the interviewer instructions provided by the AHRQ. According to their tool, scoring fewer than 14 points would indicate low health literacy (AHRQ, </w:t>
      </w:r>
      <w:proofErr w:type="spellStart"/>
      <w:r>
        <w:rPr>
          <w:rFonts w:ascii="Lato" w:hAnsi="Lato"/>
          <w:sz w:val="20"/>
          <w:szCs w:val="20"/>
        </w:rPr>
        <w:t>n.d.b</w:t>
      </w:r>
      <w:proofErr w:type="spellEnd"/>
      <w:r>
        <w:rPr>
          <w:rFonts w:ascii="Lato" w:hAnsi="Lato"/>
          <w:sz w:val="20"/>
          <w:szCs w:val="20"/>
        </w:rPr>
        <w:t xml:space="preserve">). If the patient has a score of less than 14 on health literacy, the appointment time will be longer; more to come on this. Let’s imagine that a similar questionnaire, this one measuring technological abilities, is available. The triage nurse will ask another 18 questions around technology, a score of less than 14 </w:t>
      </w:r>
      <w:r>
        <w:rPr>
          <w:rFonts w:ascii="Lato" w:hAnsi="Lato"/>
          <w:sz w:val="20"/>
          <w:szCs w:val="20"/>
        </w:rPr>
        <w:lastRenderedPageBreak/>
        <w:t xml:space="preserve">signaling low e-literacy. </w:t>
      </w:r>
      <w:r w:rsidRPr="009761F4">
        <w:rPr>
          <w:rFonts w:ascii="Lato" w:hAnsi="Lato"/>
          <w:sz w:val="20"/>
          <w:szCs w:val="20"/>
        </w:rPr>
        <w:t xml:space="preserve">If the new patient </w:t>
      </w:r>
      <w:r>
        <w:rPr>
          <w:rFonts w:ascii="Lato" w:hAnsi="Lato"/>
          <w:sz w:val="20"/>
          <w:szCs w:val="20"/>
        </w:rPr>
        <w:t xml:space="preserve">has low e-literacy, the triage nurse will schedule a home visit for an in-person training, and the delivery of and tutelage on the smart clinic kit. Once in-person training is complete, the patient will upload their information and an appointment will be sent to their portal. </w:t>
      </w:r>
    </w:p>
    <w:p w14:paraId="098CC1AC" w14:textId="77777777" w:rsidR="00985F05" w:rsidRDefault="00985F05" w:rsidP="00985F05">
      <w:pPr>
        <w:spacing w:after="0" w:line="480" w:lineRule="auto"/>
        <w:ind w:firstLine="720"/>
        <w:rPr>
          <w:rFonts w:ascii="Lato" w:hAnsi="Lato"/>
          <w:sz w:val="20"/>
          <w:szCs w:val="20"/>
        </w:rPr>
      </w:pPr>
      <w:r w:rsidRPr="009761F4">
        <w:rPr>
          <w:rFonts w:ascii="Lato" w:hAnsi="Lato"/>
          <w:sz w:val="20"/>
          <w:szCs w:val="20"/>
        </w:rPr>
        <w:t xml:space="preserve">If the new patient has a score of greater than 15 </w:t>
      </w:r>
      <w:r>
        <w:rPr>
          <w:rFonts w:ascii="Lato" w:hAnsi="Lato"/>
          <w:sz w:val="20"/>
          <w:szCs w:val="20"/>
        </w:rPr>
        <w:t xml:space="preserve">or greater </w:t>
      </w:r>
      <w:r w:rsidRPr="009761F4">
        <w:rPr>
          <w:rFonts w:ascii="Lato" w:hAnsi="Lato"/>
          <w:sz w:val="20"/>
          <w:szCs w:val="20"/>
        </w:rPr>
        <w:t xml:space="preserve">on </w:t>
      </w:r>
      <w:r>
        <w:rPr>
          <w:rFonts w:ascii="Lato" w:hAnsi="Lato"/>
          <w:sz w:val="20"/>
          <w:szCs w:val="20"/>
        </w:rPr>
        <w:t>E-literacy</w:t>
      </w:r>
      <w:r w:rsidRPr="009761F4">
        <w:rPr>
          <w:rFonts w:ascii="Lato" w:hAnsi="Lato"/>
          <w:sz w:val="20"/>
          <w:szCs w:val="20"/>
        </w:rPr>
        <w:t xml:space="preserve">, the nurse will explain that the patient will be receiving a </w:t>
      </w:r>
      <w:r>
        <w:rPr>
          <w:rFonts w:ascii="Lato" w:hAnsi="Lato"/>
          <w:sz w:val="20"/>
          <w:szCs w:val="20"/>
        </w:rPr>
        <w:t>s</w:t>
      </w:r>
      <w:r w:rsidRPr="009761F4">
        <w:rPr>
          <w:rFonts w:ascii="Lato" w:hAnsi="Lato"/>
          <w:sz w:val="20"/>
          <w:szCs w:val="20"/>
        </w:rPr>
        <w:t>mart</w:t>
      </w:r>
      <w:r>
        <w:rPr>
          <w:rFonts w:ascii="Lato" w:hAnsi="Lato"/>
          <w:sz w:val="20"/>
          <w:szCs w:val="20"/>
        </w:rPr>
        <w:t xml:space="preserve"> clinic</w:t>
      </w:r>
      <w:r w:rsidRPr="009761F4">
        <w:rPr>
          <w:rFonts w:ascii="Lato" w:hAnsi="Lato"/>
          <w:sz w:val="20"/>
          <w:szCs w:val="20"/>
        </w:rPr>
        <w:t xml:space="preserve"> kit</w:t>
      </w:r>
      <w:r w:rsidRPr="006F590E">
        <w:rPr>
          <w:rFonts w:ascii="Lato" w:hAnsi="Lato"/>
          <w:sz w:val="20"/>
          <w:szCs w:val="20"/>
        </w:rPr>
        <w:t xml:space="preserve">, </w:t>
      </w:r>
      <w:r>
        <w:rPr>
          <w:rFonts w:ascii="Lato" w:hAnsi="Lato"/>
          <w:sz w:val="20"/>
          <w:szCs w:val="20"/>
        </w:rPr>
        <w:t>smart clinic</w:t>
      </w:r>
      <w:r w:rsidRPr="009761F4">
        <w:rPr>
          <w:rFonts w:ascii="Lato" w:hAnsi="Lato"/>
          <w:sz w:val="20"/>
          <w:szCs w:val="20"/>
        </w:rPr>
        <w:t xml:space="preserve"> </w:t>
      </w:r>
      <w:r w:rsidRPr="006F590E">
        <w:rPr>
          <w:rFonts w:ascii="Lato" w:hAnsi="Lato"/>
          <w:sz w:val="20"/>
          <w:szCs w:val="20"/>
        </w:rPr>
        <w:t xml:space="preserve">medical card, and an appointment or a telehealth visit for a quick orientation to the </w:t>
      </w:r>
      <w:r>
        <w:rPr>
          <w:rFonts w:ascii="Lato" w:hAnsi="Lato"/>
          <w:sz w:val="20"/>
          <w:szCs w:val="20"/>
        </w:rPr>
        <w:t>smart clinic</w:t>
      </w:r>
      <w:r w:rsidRPr="006F590E">
        <w:rPr>
          <w:rFonts w:ascii="Lato" w:hAnsi="Lato"/>
          <w:sz w:val="20"/>
          <w:szCs w:val="20"/>
        </w:rPr>
        <w:t>.</w:t>
      </w:r>
      <w:r w:rsidRPr="00E00228">
        <w:rPr>
          <w:rFonts w:ascii="Lato" w:hAnsi="Lato"/>
          <w:sz w:val="20"/>
          <w:szCs w:val="20"/>
        </w:rPr>
        <w:t xml:space="preserve"> Once the patient receives the kit</w:t>
      </w:r>
      <w:r>
        <w:rPr>
          <w:rFonts w:ascii="Lato" w:hAnsi="Lato"/>
          <w:sz w:val="20"/>
          <w:szCs w:val="20"/>
        </w:rPr>
        <w:t>, the</w:t>
      </w:r>
      <w:r w:rsidRPr="00E00228">
        <w:rPr>
          <w:rFonts w:ascii="Lato" w:hAnsi="Lato"/>
          <w:sz w:val="20"/>
          <w:szCs w:val="20"/>
        </w:rPr>
        <w:t xml:space="preserve"> card and has had their telehealth orientation</w:t>
      </w:r>
      <w:r>
        <w:rPr>
          <w:rFonts w:ascii="Lato" w:hAnsi="Lato"/>
          <w:sz w:val="20"/>
          <w:szCs w:val="20"/>
        </w:rPr>
        <w:t xml:space="preserve"> visit</w:t>
      </w:r>
      <w:r w:rsidRPr="00E00228">
        <w:rPr>
          <w:rFonts w:ascii="Lato" w:hAnsi="Lato"/>
          <w:sz w:val="20"/>
          <w:szCs w:val="20"/>
        </w:rPr>
        <w:t xml:space="preserve">, their information will be tabulated as well as any need for preventative screenings or diagnostics. </w:t>
      </w:r>
      <w:r>
        <w:rPr>
          <w:rFonts w:ascii="Lato" w:hAnsi="Lato"/>
          <w:sz w:val="20"/>
          <w:szCs w:val="20"/>
        </w:rPr>
        <w:t>An appointment will be scheduled and</w:t>
      </w:r>
      <w:r w:rsidRPr="00743B83">
        <w:rPr>
          <w:rFonts w:ascii="Lato" w:hAnsi="Lato"/>
          <w:sz w:val="20"/>
          <w:szCs w:val="20"/>
        </w:rPr>
        <w:t xml:space="preserve"> sent to the patient portal.</w:t>
      </w:r>
    </w:p>
    <w:p w14:paraId="77EE984E" w14:textId="77777777" w:rsidR="00985F05" w:rsidRDefault="00985F05" w:rsidP="00985F05">
      <w:pPr>
        <w:spacing w:after="0" w:line="480" w:lineRule="auto"/>
        <w:ind w:firstLine="720"/>
        <w:rPr>
          <w:rFonts w:ascii="Lato" w:hAnsi="Lato"/>
          <w:sz w:val="20"/>
          <w:szCs w:val="20"/>
        </w:rPr>
      </w:pPr>
      <w:r w:rsidRPr="00743B83">
        <w:rPr>
          <w:rFonts w:ascii="Lato" w:hAnsi="Lato"/>
          <w:sz w:val="20"/>
          <w:szCs w:val="20"/>
        </w:rPr>
        <w:t xml:space="preserve">Once the patient presents to the lobby, they </w:t>
      </w:r>
      <w:r>
        <w:rPr>
          <w:rFonts w:ascii="Lato" w:hAnsi="Lato"/>
          <w:sz w:val="20"/>
          <w:szCs w:val="20"/>
        </w:rPr>
        <w:t>will</w:t>
      </w:r>
      <w:r w:rsidRPr="00743B83">
        <w:rPr>
          <w:rFonts w:ascii="Lato" w:hAnsi="Lato"/>
          <w:sz w:val="20"/>
          <w:szCs w:val="20"/>
        </w:rPr>
        <w:t xml:space="preserve"> either use a check</w:t>
      </w:r>
      <w:r>
        <w:rPr>
          <w:rFonts w:ascii="Lato" w:hAnsi="Lato"/>
          <w:sz w:val="20"/>
          <w:szCs w:val="20"/>
        </w:rPr>
        <w:t>-</w:t>
      </w:r>
      <w:r w:rsidRPr="00743B83">
        <w:rPr>
          <w:rFonts w:ascii="Lato" w:hAnsi="Lato"/>
          <w:sz w:val="20"/>
          <w:szCs w:val="20"/>
        </w:rPr>
        <w:t xml:space="preserve">in kiosk to </w:t>
      </w:r>
      <w:r>
        <w:rPr>
          <w:rFonts w:ascii="Lato" w:hAnsi="Lato"/>
          <w:sz w:val="20"/>
          <w:szCs w:val="20"/>
        </w:rPr>
        <w:t>mark</w:t>
      </w:r>
      <w:r w:rsidRPr="00743B83">
        <w:rPr>
          <w:rFonts w:ascii="Lato" w:hAnsi="Lato"/>
          <w:sz w:val="20"/>
          <w:szCs w:val="20"/>
        </w:rPr>
        <w:t xml:space="preserve"> their arrival,</w:t>
      </w:r>
      <w:r w:rsidRPr="00670317">
        <w:rPr>
          <w:rFonts w:ascii="Lato" w:hAnsi="Lato"/>
          <w:sz w:val="20"/>
          <w:szCs w:val="20"/>
        </w:rPr>
        <w:t xml:space="preserve"> or they </w:t>
      </w:r>
      <w:r>
        <w:rPr>
          <w:rFonts w:ascii="Lato" w:hAnsi="Lato"/>
          <w:sz w:val="20"/>
          <w:szCs w:val="20"/>
        </w:rPr>
        <w:t xml:space="preserve">will </w:t>
      </w:r>
      <w:r w:rsidRPr="00670317">
        <w:rPr>
          <w:rFonts w:ascii="Lato" w:hAnsi="Lato"/>
          <w:sz w:val="20"/>
          <w:szCs w:val="20"/>
        </w:rPr>
        <w:t>perform an automatic check</w:t>
      </w:r>
      <w:r>
        <w:rPr>
          <w:rFonts w:ascii="Lato" w:hAnsi="Lato"/>
          <w:sz w:val="20"/>
          <w:szCs w:val="20"/>
        </w:rPr>
        <w:t>-</w:t>
      </w:r>
      <w:r w:rsidRPr="00670317">
        <w:rPr>
          <w:rFonts w:ascii="Lato" w:hAnsi="Lato"/>
          <w:sz w:val="20"/>
          <w:szCs w:val="20"/>
        </w:rPr>
        <w:t>in using their patient portal.</w:t>
      </w:r>
      <w:r>
        <w:rPr>
          <w:rFonts w:ascii="Lato" w:hAnsi="Lato"/>
          <w:sz w:val="20"/>
          <w:szCs w:val="20"/>
        </w:rPr>
        <w:t xml:space="preserve"> The point of the kiosk is to offer another type of interface if vision is an issue. </w:t>
      </w:r>
      <w:r w:rsidRPr="00670317">
        <w:rPr>
          <w:rFonts w:ascii="Lato" w:hAnsi="Lato"/>
          <w:sz w:val="20"/>
          <w:szCs w:val="20"/>
        </w:rPr>
        <w:t xml:space="preserve">Both the kiosk and the check-in portal will inquire about the any need </w:t>
      </w:r>
      <w:r>
        <w:rPr>
          <w:rFonts w:ascii="Lato" w:hAnsi="Lato"/>
          <w:sz w:val="20"/>
          <w:szCs w:val="20"/>
        </w:rPr>
        <w:t xml:space="preserve">for </w:t>
      </w:r>
      <w:r w:rsidRPr="00670317">
        <w:rPr>
          <w:rFonts w:ascii="Lato" w:hAnsi="Lato"/>
          <w:sz w:val="20"/>
          <w:szCs w:val="20"/>
        </w:rPr>
        <w:t>any assistive devices.</w:t>
      </w:r>
      <w:r w:rsidRPr="003076FA">
        <w:rPr>
          <w:rFonts w:ascii="Lato" w:hAnsi="Lato"/>
          <w:sz w:val="20"/>
          <w:szCs w:val="20"/>
        </w:rPr>
        <w:t xml:space="preserve"> Once a patient has selected their preference, they will be prompted by either the kiosk or the portal to have a seat in the waiting area.</w:t>
      </w:r>
      <w:r w:rsidRPr="00E73374">
        <w:rPr>
          <w:rFonts w:ascii="Lato" w:hAnsi="Lato"/>
          <w:sz w:val="20"/>
          <w:szCs w:val="20"/>
        </w:rPr>
        <w:t xml:space="preserve"> At this point in their process, I had two schools of thought. There was a part of me that wanted to eliminate the medical assistant swim lane</w:t>
      </w:r>
      <w:r>
        <w:rPr>
          <w:rFonts w:ascii="Lato" w:hAnsi="Lato"/>
          <w:sz w:val="20"/>
          <w:szCs w:val="20"/>
        </w:rPr>
        <w:t xml:space="preserve"> </w:t>
      </w:r>
      <w:r w:rsidRPr="00E73374">
        <w:rPr>
          <w:rFonts w:ascii="Lato" w:hAnsi="Lato"/>
          <w:sz w:val="20"/>
          <w:szCs w:val="20"/>
        </w:rPr>
        <w:t>entirely, as</w:t>
      </w:r>
      <w:r w:rsidRPr="00F60874">
        <w:rPr>
          <w:rFonts w:ascii="Lato" w:hAnsi="Lato"/>
          <w:sz w:val="20"/>
          <w:szCs w:val="20"/>
        </w:rPr>
        <w:t xml:space="preserve"> changes to medical information, and reviews for preventative diagnostics, could all be managed by </w:t>
      </w:r>
      <w:r>
        <w:rPr>
          <w:rFonts w:ascii="Lato" w:hAnsi="Lato"/>
          <w:sz w:val="20"/>
          <w:szCs w:val="20"/>
        </w:rPr>
        <w:t>another member of the healthcare team</w:t>
      </w:r>
      <w:r w:rsidRPr="00F60874">
        <w:rPr>
          <w:rFonts w:ascii="Lato" w:hAnsi="Lato"/>
          <w:sz w:val="20"/>
          <w:szCs w:val="20"/>
        </w:rPr>
        <w:t xml:space="preserve"> via the portal</w:t>
      </w:r>
      <w:r>
        <w:rPr>
          <w:rFonts w:ascii="Lato" w:hAnsi="Lato"/>
          <w:sz w:val="20"/>
          <w:szCs w:val="20"/>
        </w:rPr>
        <w:t>, see Appendix C</w:t>
      </w:r>
      <w:r w:rsidRPr="00F60874">
        <w:rPr>
          <w:rFonts w:ascii="Lato" w:hAnsi="Lato"/>
          <w:sz w:val="20"/>
          <w:szCs w:val="20"/>
        </w:rPr>
        <w:t>.</w:t>
      </w:r>
      <w:r>
        <w:rPr>
          <w:rFonts w:ascii="Lato" w:hAnsi="Lato"/>
          <w:sz w:val="20"/>
          <w:szCs w:val="20"/>
        </w:rPr>
        <w:t xml:space="preserve"> However, b</w:t>
      </w:r>
      <w:r w:rsidRPr="00584914">
        <w:rPr>
          <w:rFonts w:ascii="Lato" w:hAnsi="Lato"/>
          <w:sz w:val="20"/>
          <w:szCs w:val="20"/>
        </w:rPr>
        <w:t xml:space="preserve">ecause there </w:t>
      </w:r>
      <w:r>
        <w:rPr>
          <w:rFonts w:ascii="Lato" w:hAnsi="Lato"/>
          <w:sz w:val="20"/>
          <w:szCs w:val="20"/>
        </w:rPr>
        <w:t>are still problems with</w:t>
      </w:r>
      <w:r w:rsidRPr="00584914">
        <w:rPr>
          <w:rFonts w:ascii="Lato" w:hAnsi="Lato"/>
          <w:sz w:val="20"/>
          <w:szCs w:val="20"/>
        </w:rPr>
        <w:t xml:space="preserve"> no shows and other unplanned events</w:t>
      </w:r>
      <w:r>
        <w:rPr>
          <w:rFonts w:ascii="Lato" w:hAnsi="Lato"/>
          <w:sz w:val="20"/>
          <w:szCs w:val="20"/>
        </w:rPr>
        <w:t>, there would need to be a solution that would not require pre-visit work as that could be done in vain. Having no solution for that, an MA would still be part of the future state workflow included in Appendix B.</w:t>
      </w:r>
    </w:p>
    <w:p w14:paraId="1755EAB7" w14:textId="77777777" w:rsidR="00985F05" w:rsidRDefault="00985F05" w:rsidP="00985F05">
      <w:pPr>
        <w:spacing w:after="0" w:line="480" w:lineRule="auto"/>
        <w:ind w:firstLine="720"/>
        <w:rPr>
          <w:rFonts w:ascii="Lato" w:hAnsi="Lato"/>
          <w:sz w:val="20"/>
          <w:szCs w:val="20"/>
        </w:rPr>
      </w:pPr>
      <w:r>
        <w:rPr>
          <w:rFonts w:ascii="Lato" w:hAnsi="Lato"/>
          <w:sz w:val="20"/>
          <w:szCs w:val="20"/>
        </w:rPr>
        <w:t>The medical assistant</w:t>
      </w:r>
      <w:r w:rsidRPr="00031346">
        <w:rPr>
          <w:rFonts w:ascii="Lato" w:hAnsi="Lato"/>
          <w:sz w:val="20"/>
          <w:szCs w:val="20"/>
        </w:rPr>
        <w:t xml:space="preserve"> w</w:t>
      </w:r>
      <w:r>
        <w:rPr>
          <w:rFonts w:ascii="Lato" w:hAnsi="Lato"/>
          <w:sz w:val="20"/>
          <w:szCs w:val="20"/>
        </w:rPr>
        <w:t xml:space="preserve">ill </w:t>
      </w:r>
      <w:r w:rsidRPr="00031346">
        <w:rPr>
          <w:rFonts w:ascii="Lato" w:hAnsi="Lato"/>
          <w:sz w:val="20"/>
          <w:szCs w:val="20"/>
        </w:rPr>
        <w:t>receive notification from the kiosk or portal that the patient has arrived and</w:t>
      </w:r>
      <w:r w:rsidRPr="00352B7D">
        <w:rPr>
          <w:rFonts w:ascii="Lato" w:hAnsi="Lato"/>
          <w:sz w:val="20"/>
          <w:szCs w:val="20"/>
        </w:rPr>
        <w:t xml:space="preserve"> w</w:t>
      </w:r>
      <w:r>
        <w:rPr>
          <w:rFonts w:ascii="Lato" w:hAnsi="Lato"/>
          <w:sz w:val="20"/>
          <w:szCs w:val="20"/>
        </w:rPr>
        <w:t>ill</w:t>
      </w:r>
      <w:r w:rsidRPr="00352B7D">
        <w:rPr>
          <w:rFonts w:ascii="Lato" w:hAnsi="Lato"/>
          <w:sz w:val="20"/>
          <w:szCs w:val="20"/>
        </w:rPr>
        <w:t xml:space="preserve"> present to the waiting room to esc</w:t>
      </w:r>
      <w:r>
        <w:rPr>
          <w:rFonts w:ascii="Lato" w:hAnsi="Lato"/>
          <w:sz w:val="20"/>
          <w:szCs w:val="20"/>
        </w:rPr>
        <w:t>ort</w:t>
      </w:r>
      <w:r w:rsidRPr="00352B7D">
        <w:rPr>
          <w:rFonts w:ascii="Lato" w:hAnsi="Lato"/>
          <w:sz w:val="20"/>
          <w:szCs w:val="20"/>
        </w:rPr>
        <w:t xml:space="preserve"> the patient to the back office. </w:t>
      </w:r>
      <w:r>
        <w:rPr>
          <w:rFonts w:ascii="Lato" w:hAnsi="Lato"/>
          <w:sz w:val="20"/>
          <w:szCs w:val="20"/>
        </w:rPr>
        <w:t>The MA</w:t>
      </w:r>
      <w:r w:rsidRPr="00352B7D">
        <w:rPr>
          <w:rFonts w:ascii="Lato" w:hAnsi="Lato"/>
          <w:sz w:val="20"/>
          <w:szCs w:val="20"/>
        </w:rPr>
        <w:t xml:space="preserve"> </w:t>
      </w:r>
      <w:r>
        <w:rPr>
          <w:rFonts w:ascii="Lato" w:hAnsi="Lato"/>
          <w:sz w:val="20"/>
          <w:szCs w:val="20"/>
        </w:rPr>
        <w:t>will</w:t>
      </w:r>
      <w:r w:rsidRPr="00352B7D">
        <w:rPr>
          <w:rFonts w:ascii="Lato" w:hAnsi="Lato"/>
          <w:sz w:val="20"/>
          <w:szCs w:val="20"/>
        </w:rPr>
        <w:t xml:space="preserve"> room the patient and log into </w:t>
      </w:r>
      <w:r>
        <w:rPr>
          <w:rFonts w:ascii="Lato" w:hAnsi="Lato"/>
          <w:sz w:val="20"/>
          <w:szCs w:val="20"/>
        </w:rPr>
        <w:t>E</w:t>
      </w:r>
      <w:r w:rsidRPr="00352B7D">
        <w:rPr>
          <w:rFonts w:ascii="Lato" w:hAnsi="Lato"/>
          <w:sz w:val="20"/>
          <w:szCs w:val="20"/>
        </w:rPr>
        <w:t>pic, viewing preventative diagnostics and going over any changes to the medical record. If any vaccines</w:t>
      </w:r>
      <w:r w:rsidRPr="003E074F">
        <w:rPr>
          <w:rFonts w:ascii="Lato" w:hAnsi="Lato"/>
          <w:sz w:val="20"/>
          <w:szCs w:val="20"/>
        </w:rPr>
        <w:t xml:space="preserve"> are needed</w:t>
      </w:r>
      <w:r>
        <w:rPr>
          <w:rFonts w:ascii="Lato" w:hAnsi="Lato"/>
          <w:sz w:val="20"/>
          <w:szCs w:val="20"/>
        </w:rPr>
        <w:t>,</w:t>
      </w:r>
      <w:r w:rsidRPr="003E074F">
        <w:rPr>
          <w:rFonts w:ascii="Lato" w:hAnsi="Lato"/>
          <w:sz w:val="20"/>
          <w:szCs w:val="20"/>
        </w:rPr>
        <w:t xml:space="preserve"> the </w:t>
      </w:r>
      <w:r>
        <w:rPr>
          <w:rFonts w:ascii="Lato" w:hAnsi="Lato"/>
          <w:sz w:val="20"/>
          <w:szCs w:val="20"/>
        </w:rPr>
        <w:t>MA</w:t>
      </w:r>
      <w:r w:rsidRPr="003E074F">
        <w:rPr>
          <w:rFonts w:ascii="Lato" w:hAnsi="Lato"/>
          <w:sz w:val="20"/>
          <w:szCs w:val="20"/>
        </w:rPr>
        <w:t xml:space="preserve"> </w:t>
      </w:r>
      <w:r>
        <w:rPr>
          <w:rFonts w:ascii="Lato" w:hAnsi="Lato"/>
          <w:sz w:val="20"/>
          <w:szCs w:val="20"/>
        </w:rPr>
        <w:t>will</w:t>
      </w:r>
      <w:r w:rsidRPr="003E074F">
        <w:rPr>
          <w:rFonts w:ascii="Lato" w:hAnsi="Lato"/>
          <w:sz w:val="20"/>
          <w:szCs w:val="20"/>
        </w:rPr>
        <w:t xml:space="preserve"> proceed with those, as scheduled inoculations </w:t>
      </w:r>
      <w:r>
        <w:rPr>
          <w:rFonts w:ascii="Lato" w:hAnsi="Lato"/>
          <w:sz w:val="20"/>
          <w:szCs w:val="20"/>
        </w:rPr>
        <w:t>are part</w:t>
      </w:r>
      <w:r w:rsidRPr="003E074F">
        <w:rPr>
          <w:rFonts w:ascii="Lato" w:hAnsi="Lato"/>
          <w:sz w:val="20"/>
          <w:szCs w:val="20"/>
        </w:rPr>
        <w:t xml:space="preserve"> of </w:t>
      </w:r>
      <w:r>
        <w:rPr>
          <w:rFonts w:ascii="Lato" w:hAnsi="Lato"/>
          <w:sz w:val="20"/>
          <w:szCs w:val="20"/>
        </w:rPr>
        <w:t>the clinic’s</w:t>
      </w:r>
      <w:r w:rsidRPr="003E074F">
        <w:rPr>
          <w:rFonts w:ascii="Lato" w:hAnsi="Lato"/>
          <w:sz w:val="20"/>
          <w:szCs w:val="20"/>
        </w:rPr>
        <w:t xml:space="preserve"> standing order</w:t>
      </w:r>
      <w:r>
        <w:rPr>
          <w:rFonts w:ascii="Lato" w:hAnsi="Lato"/>
          <w:sz w:val="20"/>
          <w:szCs w:val="20"/>
        </w:rPr>
        <w:t xml:space="preserve"> set</w:t>
      </w:r>
      <w:r w:rsidRPr="003E074F">
        <w:rPr>
          <w:rFonts w:ascii="Lato" w:hAnsi="Lato"/>
          <w:sz w:val="20"/>
          <w:szCs w:val="20"/>
        </w:rPr>
        <w:t>.</w:t>
      </w:r>
      <w:r w:rsidRPr="004140B8">
        <w:rPr>
          <w:rFonts w:ascii="Lato" w:hAnsi="Lato"/>
          <w:sz w:val="20"/>
          <w:szCs w:val="20"/>
        </w:rPr>
        <w:t xml:space="preserve"> </w:t>
      </w:r>
      <w:r>
        <w:rPr>
          <w:rFonts w:ascii="Lato" w:hAnsi="Lato"/>
          <w:sz w:val="20"/>
          <w:szCs w:val="20"/>
        </w:rPr>
        <w:t>Before leaving the room, the</w:t>
      </w:r>
      <w:r w:rsidRPr="004140B8">
        <w:rPr>
          <w:rFonts w:ascii="Lato" w:hAnsi="Lato"/>
          <w:sz w:val="20"/>
          <w:szCs w:val="20"/>
        </w:rPr>
        <w:t xml:space="preserve"> </w:t>
      </w:r>
      <w:r>
        <w:rPr>
          <w:rFonts w:ascii="Lato" w:hAnsi="Lato"/>
          <w:sz w:val="20"/>
          <w:szCs w:val="20"/>
        </w:rPr>
        <w:t>MA will</w:t>
      </w:r>
      <w:r w:rsidRPr="004140B8">
        <w:rPr>
          <w:rFonts w:ascii="Lato" w:hAnsi="Lato"/>
          <w:sz w:val="20"/>
          <w:szCs w:val="20"/>
        </w:rPr>
        <w:t xml:space="preserve"> ping the </w:t>
      </w:r>
      <w:r>
        <w:rPr>
          <w:rFonts w:ascii="Lato" w:hAnsi="Lato"/>
          <w:sz w:val="20"/>
          <w:szCs w:val="20"/>
        </w:rPr>
        <w:t>APP’s</w:t>
      </w:r>
      <w:r w:rsidRPr="004140B8">
        <w:rPr>
          <w:rFonts w:ascii="Lato" w:hAnsi="Lato"/>
          <w:sz w:val="20"/>
          <w:szCs w:val="20"/>
        </w:rPr>
        <w:t xml:space="preserve"> tablet </w:t>
      </w:r>
      <w:r>
        <w:rPr>
          <w:rFonts w:ascii="Lato" w:hAnsi="Lato"/>
          <w:sz w:val="20"/>
          <w:szCs w:val="20"/>
        </w:rPr>
        <w:t xml:space="preserve">letting them now </w:t>
      </w:r>
      <w:r w:rsidRPr="004140B8">
        <w:rPr>
          <w:rFonts w:ascii="Lato" w:hAnsi="Lato"/>
          <w:sz w:val="20"/>
          <w:szCs w:val="20"/>
        </w:rPr>
        <w:t>that the patient is ready for the visit.</w:t>
      </w:r>
      <w:r>
        <w:rPr>
          <w:rFonts w:ascii="Lato" w:hAnsi="Lato"/>
          <w:sz w:val="20"/>
          <w:szCs w:val="20"/>
        </w:rPr>
        <w:t xml:space="preserve"> Once the</w:t>
      </w:r>
      <w:r w:rsidRPr="000118E9">
        <w:rPr>
          <w:rFonts w:ascii="Lato" w:hAnsi="Lato"/>
          <w:sz w:val="20"/>
          <w:szCs w:val="20"/>
        </w:rPr>
        <w:t xml:space="preserve"> </w:t>
      </w:r>
      <w:r>
        <w:rPr>
          <w:rFonts w:ascii="Lato" w:hAnsi="Lato"/>
          <w:sz w:val="20"/>
          <w:szCs w:val="20"/>
        </w:rPr>
        <w:t xml:space="preserve">MA </w:t>
      </w:r>
      <w:r w:rsidRPr="000118E9">
        <w:rPr>
          <w:rFonts w:ascii="Lato" w:hAnsi="Lato"/>
          <w:sz w:val="20"/>
          <w:szCs w:val="20"/>
        </w:rPr>
        <w:t xml:space="preserve">has departed </w:t>
      </w:r>
      <w:r>
        <w:rPr>
          <w:rFonts w:ascii="Lato" w:hAnsi="Lato"/>
          <w:sz w:val="20"/>
          <w:szCs w:val="20"/>
        </w:rPr>
        <w:t>and</w:t>
      </w:r>
      <w:r w:rsidRPr="000118E9">
        <w:rPr>
          <w:rFonts w:ascii="Lato" w:hAnsi="Lato"/>
          <w:sz w:val="20"/>
          <w:szCs w:val="20"/>
        </w:rPr>
        <w:t xml:space="preserve"> the A</w:t>
      </w:r>
      <w:r>
        <w:rPr>
          <w:rFonts w:ascii="Lato" w:hAnsi="Lato"/>
          <w:sz w:val="20"/>
          <w:szCs w:val="20"/>
        </w:rPr>
        <w:t>P</w:t>
      </w:r>
      <w:r w:rsidRPr="000118E9">
        <w:rPr>
          <w:rFonts w:ascii="Lato" w:hAnsi="Lato"/>
          <w:sz w:val="20"/>
          <w:szCs w:val="20"/>
        </w:rPr>
        <w:t xml:space="preserve">P has entered, the </w:t>
      </w:r>
      <w:r>
        <w:rPr>
          <w:rFonts w:ascii="Lato" w:hAnsi="Lato"/>
          <w:sz w:val="20"/>
          <w:szCs w:val="20"/>
        </w:rPr>
        <w:t>APP will</w:t>
      </w:r>
      <w:r w:rsidRPr="000118E9">
        <w:rPr>
          <w:rFonts w:ascii="Lato" w:hAnsi="Lato"/>
          <w:sz w:val="20"/>
          <w:szCs w:val="20"/>
        </w:rPr>
        <w:t xml:space="preserve"> log onto the system, conduct the exam, enter follow up instruction, and send the A</w:t>
      </w:r>
      <w:r>
        <w:rPr>
          <w:rFonts w:ascii="Lato" w:hAnsi="Lato"/>
          <w:sz w:val="20"/>
          <w:szCs w:val="20"/>
        </w:rPr>
        <w:t>V</w:t>
      </w:r>
      <w:r w:rsidRPr="000118E9">
        <w:rPr>
          <w:rFonts w:ascii="Lato" w:hAnsi="Lato"/>
          <w:sz w:val="20"/>
          <w:szCs w:val="20"/>
        </w:rPr>
        <w:t>S and next appointment information to the portal.</w:t>
      </w:r>
    </w:p>
    <w:p w14:paraId="561A240E" w14:textId="77777777" w:rsidR="00985F05" w:rsidRDefault="00985F05" w:rsidP="00985F05">
      <w:pPr>
        <w:spacing w:after="0" w:line="480" w:lineRule="auto"/>
        <w:ind w:firstLine="720"/>
        <w:rPr>
          <w:rFonts w:ascii="Lato" w:hAnsi="Lato"/>
          <w:sz w:val="20"/>
          <w:szCs w:val="20"/>
        </w:rPr>
      </w:pPr>
      <w:r w:rsidRPr="000118E9">
        <w:rPr>
          <w:rFonts w:ascii="Lato" w:hAnsi="Lato"/>
          <w:sz w:val="20"/>
          <w:szCs w:val="20"/>
        </w:rPr>
        <w:lastRenderedPageBreak/>
        <w:t>As mentioned,</w:t>
      </w:r>
      <w:r w:rsidRPr="009C1BFB">
        <w:rPr>
          <w:rFonts w:ascii="Lato" w:hAnsi="Lato"/>
          <w:sz w:val="20"/>
          <w:szCs w:val="20"/>
        </w:rPr>
        <w:t xml:space="preserve"> </w:t>
      </w:r>
      <w:r>
        <w:rPr>
          <w:rFonts w:ascii="Lato" w:hAnsi="Lato"/>
          <w:sz w:val="20"/>
          <w:szCs w:val="20"/>
        </w:rPr>
        <w:t>there were</w:t>
      </w:r>
      <w:r w:rsidRPr="009C1BFB">
        <w:rPr>
          <w:rFonts w:ascii="Lato" w:hAnsi="Lato"/>
          <w:sz w:val="20"/>
          <w:szCs w:val="20"/>
        </w:rPr>
        <w:t xml:space="preserve"> two schools of thought with this workflow. If the </w:t>
      </w:r>
      <w:r>
        <w:rPr>
          <w:rFonts w:ascii="Lato" w:hAnsi="Lato"/>
          <w:sz w:val="20"/>
          <w:szCs w:val="20"/>
        </w:rPr>
        <w:t>MA</w:t>
      </w:r>
      <w:r w:rsidRPr="009C1BFB">
        <w:rPr>
          <w:rFonts w:ascii="Lato" w:hAnsi="Lato"/>
          <w:sz w:val="20"/>
          <w:szCs w:val="20"/>
        </w:rPr>
        <w:t xml:space="preserve"> was eliminated</w:t>
      </w:r>
      <w:r>
        <w:rPr>
          <w:rFonts w:ascii="Lato" w:hAnsi="Lato"/>
          <w:sz w:val="20"/>
          <w:szCs w:val="20"/>
        </w:rPr>
        <w:t xml:space="preserve"> from standard rooming</w:t>
      </w:r>
      <w:r w:rsidRPr="009C1BFB">
        <w:rPr>
          <w:rFonts w:ascii="Lato" w:hAnsi="Lato"/>
          <w:sz w:val="20"/>
          <w:szCs w:val="20"/>
        </w:rPr>
        <w:t>,</w:t>
      </w:r>
      <w:r>
        <w:rPr>
          <w:rFonts w:ascii="Lato" w:hAnsi="Lato"/>
          <w:sz w:val="20"/>
          <w:szCs w:val="20"/>
        </w:rPr>
        <w:t xml:space="preserve"> Appendix C,</w:t>
      </w:r>
      <w:r w:rsidRPr="009C1BFB">
        <w:rPr>
          <w:rFonts w:ascii="Lato" w:hAnsi="Lato"/>
          <w:sz w:val="20"/>
          <w:szCs w:val="20"/>
        </w:rPr>
        <w:t xml:space="preserve"> it would be the APP that </w:t>
      </w:r>
      <w:r>
        <w:rPr>
          <w:rFonts w:ascii="Lato" w:hAnsi="Lato"/>
          <w:sz w:val="20"/>
          <w:szCs w:val="20"/>
        </w:rPr>
        <w:t>w</w:t>
      </w:r>
      <w:r w:rsidRPr="009C1BFB">
        <w:rPr>
          <w:rFonts w:ascii="Lato" w:hAnsi="Lato"/>
          <w:sz w:val="20"/>
          <w:szCs w:val="20"/>
        </w:rPr>
        <w:t>ould receive notification</w:t>
      </w:r>
      <w:r>
        <w:rPr>
          <w:rFonts w:ascii="Lato" w:hAnsi="Lato"/>
          <w:sz w:val="20"/>
          <w:szCs w:val="20"/>
        </w:rPr>
        <w:t>s</w:t>
      </w:r>
      <w:r w:rsidRPr="009C1BFB">
        <w:rPr>
          <w:rFonts w:ascii="Lato" w:hAnsi="Lato"/>
          <w:sz w:val="20"/>
          <w:szCs w:val="20"/>
        </w:rPr>
        <w:t xml:space="preserve"> from the kiosk or the portal indicating that the patient had arrive</w:t>
      </w:r>
      <w:r>
        <w:rPr>
          <w:rFonts w:ascii="Lato" w:hAnsi="Lato"/>
          <w:sz w:val="20"/>
          <w:szCs w:val="20"/>
        </w:rPr>
        <w:t>d</w:t>
      </w:r>
      <w:r w:rsidRPr="009C1BFB">
        <w:rPr>
          <w:rFonts w:ascii="Lato" w:hAnsi="Lato"/>
          <w:sz w:val="20"/>
          <w:szCs w:val="20"/>
        </w:rPr>
        <w:t>.</w:t>
      </w:r>
      <w:r w:rsidRPr="00165678">
        <w:rPr>
          <w:rFonts w:ascii="Lato" w:hAnsi="Lato"/>
          <w:sz w:val="20"/>
          <w:szCs w:val="20"/>
        </w:rPr>
        <w:t xml:space="preserve"> Considering that a future state workflow like this one could cut down on </w:t>
      </w:r>
      <w:r>
        <w:rPr>
          <w:rFonts w:ascii="Lato" w:hAnsi="Lato"/>
          <w:sz w:val="20"/>
          <w:szCs w:val="20"/>
        </w:rPr>
        <w:t>the</w:t>
      </w:r>
      <w:r w:rsidRPr="00165678">
        <w:rPr>
          <w:rFonts w:ascii="Lato" w:hAnsi="Lato"/>
          <w:sz w:val="20"/>
          <w:szCs w:val="20"/>
        </w:rPr>
        <w:t xml:space="preserve"> number of in</w:t>
      </w:r>
      <w:r>
        <w:rPr>
          <w:rFonts w:ascii="Lato" w:hAnsi="Lato"/>
          <w:sz w:val="20"/>
          <w:szCs w:val="20"/>
        </w:rPr>
        <w:t>-</w:t>
      </w:r>
      <w:r w:rsidRPr="00165678">
        <w:rPr>
          <w:rFonts w:ascii="Lato" w:hAnsi="Lato"/>
          <w:sz w:val="20"/>
          <w:szCs w:val="20"/>
        </w:rPr>
        <w:t xml:space="preserve">person visits, it may be nice to have a moment where the provider </w:t>
      </w:r>
      <w:r>
        <w:rPr>
          <w:rFonts w:ascii="Lato" w:hAnsi="Lato"/>
          <w:sz w:val="20"/>
          <w:szCs w:val="20"/>
        </w:rPr>
        <w:t xml:space="preserve">could </w:t>
      </w:r>
      <w:r w:rsidRPr="00165678">
        <w:rPr>
          <w:rFonts w:ascii="Lato" w:hAnsi="Lato"/>
          <w:sz w:val="20"/>
          <w:szCs w:val="20"/>
        </w:rPr>
        <w:t>go out into the lobby, greet the patient, and bring them into a room. With so many automations,</w:t>
      </w:r>
      <w:r w:rsidRPr="00040BA3">
        <w:rPr>
          <w:rFonts w:ascii="Lato" w:hAnsi="Lato"/>
          <w:sz w:val="20"/>
          <w:szCs w:val="20"/>
        </w:rPr>
        <w:t xml:space="preserve"> the pleasantries of</w:t>
      </w:r>
      <w:r>
        <w:rPr>
          <w:rFonts w:ascii="Lato" w:hAnsi="Lato"/>
          <w:sz w:val="20"/>
          <w:szCs w:val="20"/>
        </w:rPr>
        <w:t xml:space="preserve"> the</w:t>
      </w:r>
      <w:r w:rsidRPr="00040BA3">
        <w:rPr>
          <w:rFonts w:ascii="Lato" w:hAnsi="Lato"/>
          <w:sz w:val="20"/>
          <w:szCs w:val="20"/>
        </w:rPr>
        <w:t xml:space="preserve"> provider</w:t>
      </w:r>
      <w:r>
        <w:rPr>
          <w:rFonts w:ascii="Lato" w:hAnsi="Lato"/>
          <w:sz w:val="20"/>
          <w:szCs w:val="20"/>
        </w:rPr>
        <w:t>-</w:t>
      </w:r>
      <w:r w:rsidRPr="00040BA3">
        <w:rPr>
          <w:rFonts w:ascii="Lato" w:hAnsi="Lato"/>
          <w:sz w:val="20"/>
          <w:szCs w:val="20"/>
        </w:rPr>
        <w:t xml:space="preserve">patient relationship should not be sacrificed. Using this type of workflow, once the visit </w:t>
      </w:r>
      <w:r>
        <w:rPr>
          <w:rFonts w:ascii="Lato" w:hAnsi="Lato"/>
          <w:sz w:val="20"/>
          <w:szCs w:val="20"/>
        </w:rPr>
        <w:t>is</w:t>
      </w:r>
      <w:r w:rsidRPr="00040BA3">
        <w:rPr>
          <w:rFonts w:ascii="Lato" w:hAnsi="Lato"/>
          <w:sz w:val="20"/>
          <w:szCs w:val="20"/>
        </w:rPr>
        <w:t xml:space="preserve"> concluded, if nothing else </w:t>
      </w:r>
      <w:r>
        <w:rPr>
          <w:rFonts w:ascii="Lato" w:hAnsi="Lato"/>
          <w:sz w:val="20"/>
          <w:szCs w:val="20"/>
        </w:rPr>
        <w:t>is</w:t>
      </w:r>
      <w:r w:rsidRPr="00040BA3">
        <w:rPr>
          <w:rFonts w:ascii="Lato" w:hAnsi="Lato"/>
          <w:sz w:val="20"/>
          <w:szCs w:val="20"/>
        </w:rPr>
        <w:t xml:space="preserve"> needed</w:t>
      </w:r>
      <w:r>
        <w:rPr>
          <w:rFonts w:ascii="Lato" w:hAnsi="Lato"/>
          <w:sz w:val="20"/>
          <w:szCs w:val="20"/>
        </w:rPr>
        <w:t>,</w:t>
      </w:r>
      <w:r w:rsidRPr="00040BA3">
        <w:rPr>
          <w:rFonts w:ascii="Lato" w:hAnsi="Lato"/>
          <w:sz w:val="20"/>
          <w:szCs w:val="20"/>
        </w:rPr>
        <w:t xml:space="preserve"> the</w:t>
      </w:r>
      <w:r>
        <w:rPr>
          <w:rFonts w:ascii="Lato" w:hAnsi="Lato"/>
          <w:sz w:val="20"/>
          <w:szCs w:val="20"/>
        </w:rPr>
        <w:t xml:space="preserve"> APP</w:t>
      </w:r>
      <w:r w:rsidRPr="00040BA3">
        <w:rPr>
          <w:rFonts w:ascii="Lato" w:hAnsi="Lato"/>
          <w:sz w:val="20"/>
          <w:szCs w:val="20"/>
        </w:rPr>
        <w:t xml:space="preserve"> </w:t>
      </w:r>
      <w:r>
        <w:rPr>
          <w:rFonts w:ascii="Lato" w:hAnsi="Lato"/>
          <w:sz w:val="20"/>
          <w:szCs w:val="20"/>
        </w:rPr>
        <w:t xml:space="preserve">will </w:t>
      </w:r>
      <w:r w:rsidRPr="00040BA3">
        <w:rPr>
          <w:rFonts w:ascii="Lato" w:hAnsi="Lato"/>
          <w:sz w:val="20"/>
          <w:szCs w:val="20"/>
        </w:rPr>
        <w:t>escort the patient to the exit.</w:t>
      </w:r>
      <w:r w:rsidRPr="00493003">
        <w:rPr>
          <w:rFonts w:ascii="Lato" w:hAnsi="Lato"/>
          <w:sz w:val="20"/>
          <w:szCs w:val="20"/>
        </w:rPr>
        <w:t xml:space="preserve"> If something more </w:t>
      </w:r>
      <w:r>
        <w:rPr>
          <w:rFonts w:ascii="Lato" w:hAnsi="Lato"/>
          <w:sz w:val="20"/>
          <w:szCs w:val="20"/>
        </w:rPr>
        <w:t>is</w:t>
      </w:r>
      <w:r w:rsidRPr="00493003">
        <w:rPr>
          <w:rFonts w:ascii="Lato" w:hAnsi="Lato"/>
          <w:sz w:val="20"/>
          <w:szCs w:val="20"/>
        </w:rPr>
        <w:t xml:space="preserve"> needed, the </w:t>
      </w:r>
      <w:r>
        <w:rPr>
          <w:rFonts w:ascii="Lato" w:hAnsi="Lato"/>
          <w:sz w:val="20"/>
          <w:szCs w:val="20"/>
        </w:rPr>
        <w:t>APP will</w:t>
      </w:r>
      <w:r w:rsidRPr="00493003">
        <w:rPr>
          <w:rFonts w:ascii="Lato" w:hAnsi="Lato"/>
          <w:sz w:val="20"/>
          <w:szCs w:val="20"/>
        </w:rPr>
        <w:t xml:space="preserve"> ping the </w:t>
      </w:r>
      <w:r>
        <w:rPr>
          <w:rFonts w:ascii="Lato" w:hAnsi="Lato"/>
          <w:sz w:val="20"/>
          <w:szCs w:val="20"/>
        </w:rPr>
        <w:t>MA</w:t>
      </w:r>
      <w:r w:rsidRPr="00493003">
        <w:rPr>
          <w:rFonts w:ascii="Lato" w:hAnsi="Lato"/>
          <w:sz w:val="20"/>
          <w:szCs w:val="20"/>
        </w:rPr>
        <w:t xml:space="preserve"> and they</w:t>
      </w:r>
      <w:r>
        <w:rPr>
          <w:rFonts w:ascii="Lato" w:hAnsi="Lato"/>
          <w:sz w:val="20"/>
          <w:szCs w:val="20"/>
        </w:rPr>
        <w:t xml:space="preserve"> will</w:t>
      </w:r>
      <w:r w:rsidRPr="00493003">
        <w:rPr>
          <w:rFonts w:ascii="Lato" w:hAnsi="Lato"/>
          <w:sz w:val="20"/>
          <w:szCs w:val="20"/>
        </w:rPr>
        <w:t xml:space="preserve"> review the EHR for any final tasks.</w:t>
      </w:r>
      <w:r>
        <w:rPr>
          <w:rFonts w:ascii="Lato" w:hAnsi="Lato"/>
          <w:sz w:val="20"/>
          <w:szCs w:val="20"/>
        </w:rPr>
        <w:t xml:space="preserve"> </w:t>
      </w:r>
      <w:r w:rsidRPr="00E42875">
        <w:rPr>
          <w:rFonts w:ascii="Lato" w:hAnsi="Lato"/>
          <w:sz w:val="20"/>
          <w:szCs w:val="20"/>
        </w:rPr>
        <w:t>In either case, there w</w:t>
      </w:r>
      <w:r>
        <w:rPr>
          <w:rFonts w:ascii="Lato" w:hAnsi="Lato"/>
          <w:sz w:val="20"/>
          <w:szCs w:val="20"/>
        </w:rPr>
        <w:t>ill</w:t>
      </w:r>
      <w:r w:rsidRPr="00E42875">
        <w:rPr>
          <w:rFonts w:ascii="Lato" w:hAnsi="Lato"/>
          <w:sz w:val="20"/>
          <w:szCs w:val="20"/>
        </w:rPr>
        <w:t xml:space="preserve"> be no need for the patient to be returned to the </w:t>
      </w:r>
      <w:r>
        <w:rPr>
          <w:rFonts w:ascii="Lato" w:hAnsi="Lato"/>
          <w:sz w:val="20"/>
          <w:szCs w:val="20"/>
        </w:rPr>
        <w:t>FOS</w:t>
      </w:r>
      <w:r w:rsidRPr="00E42875">
        <w:rPr>
          <w:rFonts w:ascii="Lato" w:hAnsi="Lato"/>
          <w:sz w:val="20"/>
          <w:szCs w:val="20"/>
        </w:rPr>
        <w:t>. Future appointments</w:t>
      </w:r>
      <w:r>
        <w:rPr>
          <w:rFonts w:ascii="Lato" w:hAnsi="Lato"/>
          <w:sz w:val="20"/>
          <w:szCs w:val="20"/>
        </w:rPr>
        <w:t>,</w:t>
      </w:r>
      <w:r w:rsidRPr="00E42875">
        <w:rPr>
          <w:rFonts w:ascii="Lato" w:hAnsi="Lato"/>
          <w:sz w:val="20"/>
          <w:szCs w:val="20"/>
        </w:rPr>
        <w:t xml:space="preserve"> the collection of fees, and the validation of parking </w:t>
      </w:r>
      <w:r>
        <w:rPr>
          <w:rFonts w:ascii="Lato" w:hAnsi="Lato"/>
          <w:sz w:val="20"/>
          <w:szCs w:val="20"/>
        </w:rPr>
        <w:t xml:space="preserve">will </w:t>
      </w:r>
      <w:r w:rsidRPr="00E42875">
        <w:rPr>
          <w:rFonts w:ascii="Lato" w:hAnsi="Lato"/>
          <w:sz w:val="20"/>
          <w:szCs w:val="20"/>
        </w:rPr>
        <w:t xml:space="preserve">all be handled automatically. </w:t>
      </w:r>
    </w:p>
    <w:p w14:paraId="43E6020E" w14:textId="77777777" w:rsidR="00985F05" w:rsidRPr="000B7C23" w:rsidRDefault="00985F05" w:rsidP="00985F05">
      <w:pPr>
        <w:spacing w:after="0" w:line="480" w:lineRule="auto"/>
        <w:ind w:firstLine="720"/>
        <w:rPr>
          <w:rFonts w:ascii="Lato" w:hAnsi="Lato"/>
          <w:b/>
          <w:bCs/>
          <w:sz w:val="20"/>
          <w:szCs w:val="20"/>
        </w:rPr>
      </w:pPr>
      <w:r w:rsidRPr="00E42875">
        <w:rPr>
          <w:rFonts w:ascii="Lato" w:hAnsi="Lato"/>
          <w:sz w:val="20"/>
          <w:szCs w:val="20"/>
        </w:rPr>
        <w:t>When I thought about how an appointment</w:t>
      </w:r>
      <w:r w:rsidRPr="00A748AF">
        <w:rPr>
          <w:rFonts w:ascii="Lato" w:hAnsi="Lato"/>
          <w:sz w:val="20"/>
          <w:szCs w:val="20"/>
        </w:rPr>
        <w:t xml:space="preserve"> </w:t>
      </w:r>
      <w:r>
        <w:rPr>
          <w:rFonts w:ascii="Lato" w:hAnsi="Lato"/>
          <w:sz w:val="20"/>
          <w:szCs w:val="20"/>
        </w:rPr>
        <w:t xml:space="preserve">length </w:t>
      </w:r>
      <w:r w:rsidRPr="00A748AF">
        <w:rPr>
          <w:rFonts w:ascii="Lato" w:hAnsi="Lato"/>
          <w:sz w:val="20"/>
          <w:szCs w:val="20"/>
        </w:rPr>
        <w:t>could be</w:t>
      </w:r>
      <w:r>
        <w:rPr>
          <w:rFonts w:ascii="Lato" w:hAnsi="Lato"/>
          <w:sz w:val="20"/>
          <w:szCs w:val="20"/>
        </w:rPr>
        <w:t xml:space="preserve"> </w:t>
      </w:r>
      <w:r w:rsidRPr="00A748AF">
        <w:rPr>
          <w:rFonts w:ascii="Lato" w:hAnsi="Lato"/>
          <w:sz w:val="20"/>
          <w:szCs w:val="20"/>
        </w:rPr>
        <w:t>determined</w:t>
      </w:r>
      <w:r>
        <w:rPr>
          <w:rFonts w:ascii="Lato" w:hAnsi="Lato"/>
          <w:sz w:val="20"/>
          <w:szCs w:val="20"/>
        </w:rPr>
        <w:t xml:space="preserve"> automatically</w:t>
      </w:r>
      <w:r w:rsidRPr="00A748AF">
        <w:rPr>
          <w:rFonts w:ascii="Lato" w:hAnsi="Lato"/>
          <w:sz w:val="20"/>
          <w:szCs w:val="20"/>
        </w:rPr>
        <w:t>, I reflected on</w:t>
      </w:r>
      <w:r w:rsidRPr="00877C14">
        <w:rPr>
          <w:rFonts w:ascii="Lato" w:hAnsi="Lato"/>
          <w:sz w:val="20"/>
          <w:szCs w:val="20"/>
        </w:rPr>
        <w:t xml:space="preserve"> </w:t>
      </w:r>
      <w:r>
        <w:rPr>
          <w:rFonts w:ascii="Lato" w:hAnsi="Lato"/>
          <w:sz w:val="20"/>
          <w:szCs w:val="20"/>
        </w:rPr>
        <w:t>E-literacy</w:t>
      </w:r>
      <w:r w:rsidRPr="00877C14">
        <w:rPr>
          <w:rFonts w:ascii="Lato" w:hAnsi="Lato"/>
          <w:sz w:val="20"/>
          <w:szCs w:val="20"/>
        </w:rPr>
        <w:t xml:space="preserve"> and health literacy</w:t>
      </w:r>
      <w:r>
        <w:rPr>
          <w:rFonts w:ascii="Lato" w:hAnsi="Lato"/>
          <w:sz w:val="20"/>
          <w:szCs w:val="20"/>
        </w:rPr>
        <w:t xml:space="preserve"> scores</w:t>
      </w:r>
      <w:r w:rsidRPr="00877C14">
        <w:rPr>
          <w:rFonts w:ascii="Lato" w:hAnsi="Lato"/>
          <w:sz w:val="20"/>
          <w:szCs w:val="20"/>
        </w:rPr>
        <w:t>. On the upper right-hand corner of the workflow</w:t>
      </w:r>
      <w:r>
        <w:rPr>
          <w:rFonts w:ascii="Lato" w:hAnsi="Lato"/>
          <w:sz w:val="20"/>
          <w:szCs w:val="20"/>
        </w:rPr>
        <w:t xml:space="preserve"> of Appendix B</w:t>
      </w:r>
      <w:r w:rsidRPr="00877C14">
        <w:rPr>
          <w:rFonts w:ascii="Lato" w:hAnsi="Lato"/>
          <w:sz w:val="20"/>
          <w:szCs w:val="20"/>
        </w:rPr>
        <w:t>, I created 4 appointment scenarios based on patient need.</w:t>
      </w:r>
      <w:r w:rsidRPr="007E5DDD">
        <w:rPr>
          <w:rFonts w:ascii="Lato" w:hAnsi="Lato"/>
          <w:sz w:val="20"/>
          <w:szCs w:val="20"/>
        </w:rPr>
        <w:t xml:space="preserve"> An established patient </w:t>
      </w:r>
      <w:r>
        <w:rPr>
          <w:rFonts w:ascii="Lato" w:hAnsi="Lato"/>
          <w:sz w:val="20"/>
          <w:szCs w:val="20"/>
        </w:rPr>
        <w:t>(</w:t>
      </w:r>
      <w:r w:rsidRPr="007E5DDD">
        <w:rPr>
          <w:rFonts w:ascii="Lato" w:hAnsi="Lato"/>
          <w:sz w:val="20"/>
          <w:szCs w:val="20"/>
        </w:rPr>
        <w:t>EP</w:t>
      </w:r>
      <w:r>
        <w:rPr>
          <w:rFonts w:ascii="Lato" w:hAnsi="Lato"/>
          <w:sz w:val="20"/>
          <w:szCs w:val="20"/>
        </w:rPr>
        <w:t>)</w:t>
      </w:r>
      <w:r w:rsidRPr="007E5DDD">
        <w:rPr>
          <w:rFonts w:ascii="Lato" w:hAnsi="Lato"/>
          <w:sz w:val="20"/>
          <w:szCs w:val="20"/>
        </w:rPr>
        <w:t xml:space="preserve"> </w:t>
      </w:r>
      <w:r>
        <w:rPr>
          <w:rFonts w:ascii="Lato" w:hAnsi="Lato"/>
          <w:sz w:val="20"/>
          <w:szCs w:val="20"/>
        </w:rPr>
        <w:t>w</w:t>
      </w:r>
      <w:r w:rsidRPr="007E5DDD">
        <w:rPr>
          <w:rFonts w:ascii="Lato" w:hAnsi="Lato"/>
          <w:sz w:val="20"/>
          <w:szCs w:val="20"/>
        </w:rPr>
        <w:t>o</w:t>
      </w:r>
      <w:r>
        <w:rPr>
          <w:rFonts w:ascii="Lato" w:hAnsi="Lato"/>
          <w:sz w:val="20"/>
          <w:szCs w:val="20"/>
        </w:rPr>
        <w:t>ul</w:t>
      </w:r>
      <w:r w:rsidRPr="007E5DDD">
        <w:rPr>
          <w:rFonts w:ascii="Lato" w:hAnsi="Lato"/>
          <w:sz w:val="20"/>
          <w:szCs w:val="20"/>
        </w:rPr>
        <w:t>d easily be seen by a</w:t>
      </w:r>
      <w:r>
        <w:rPr>
          <w:rFonts w:ascii="Lato" w:hAnsi="Lato"/>
          <w:sz w:val="20"/>
          <w:szCs w:val="20"/>
        </w:rPr>
        <w:t xml:space="preserve">n APP </w:t>
      </w:r>
      <w:r w:rsidRPr="007E5DDD">
        <w:rPr>
          <w:rFonts w:ascii="Lato" w:hAnsi="Lato"/>
          <w:sz w:val="20"/>
          <w:szCs w:val="20"/>
        </w:rPr>
        <w:t>in 20 minutes.</w:t>
      </w:r>
      <w:r>
        <w:rPr>
          <w:rFonts w:ascii="Lato" w:hAnsi="Lato"/>
          <w:sz w:val="20"/>
          <w:szCs w:val="20"/>
        </w:rPr>
        <w:t xml:space="preserve"> </w:t>
      </w:r>
      <w:r w:rsidRPr="00FB5B4F">
        <w:rPr>
          <w:rFonts w:ascii="Lato" w:hAnsi="Lato"/>
          <w:sz w:val="20"/>
          <w:szCs w:val="20"/>
        </w:rPr>
        <w:t>A simple new patient</w:t>
      </w:r>
      <w:r w:rsidRPr="00D90688">
        <w:rPr>
          <w:rFonts w:ascii="Lato" w:hAnsi="Lato"/>
          <w:sz w:val="20"/>
          <w:szCs w:val="20"/>
        </w:rPr>
        <w:t xml:space="preserve"> or SNP would be defined as one that had </w:t>
      </w:r>
      <w:r>
        <w:rPr>
          <w:rFonts w:ascii="Lato" w:hAnsi="Lato"/>
          <w:sz w:val="20"/>
          <w:szCs w:val="20"/>
        </w:rPr>
        <w:t>&gt;14</w:t>
      </w:r>
      <w:r w:rsidRPr="00D90688">
        <w:rPr>
          <w:rFonts w:ascii="Lato" w:hAnsi="Lato"/>
          <w:sz w:val="20"/>
          <w:szCs w:val="20"/>
        </w:rPr>
        <w:t xml:space="preserve"> health literacy</w:t>
      </w:r>
      <w:r>
        <w:rPr>
          <w:rFonts w:ascii="Lato" w:hAnsi="Lato"/>
          <w:sz w:val="20"/>
          <w:szCs w:val="20"/>
        </w:rPr>
        <w:t>, &gt;14 E-literacy</w:t>
      </w:r>
      <w:r w:rsidRPr="00D90688">
        <w:rPr>
          <w:rFonts w:ascii="Lato" w:hAnsi="Lato"/>
          <w:sz w:val="20"/>
          <w:szCs w:val="20"/>
        </w:rPr>
        <w:t xml:space="preserve">, and </w:t>
      </w:r>
      <w:r>
        <w:rPr>
          <w:rFonts w:ascii="Lato" w:hAnsi="Lato"/>
          <w:sz w:val="20"/>
          <w:szCs w:val="20"/>
        </w:rPr>
        <w:t xml:space="preserve">well-managed </w:t>
      </w:r>
      <w:r w:rsidRPr="00D90688">
        <w:rPr>
          <w:rFonts w:ascii="Lato" w:hAnsi="Lato"/>
          <w:sz w:val="20"/>
          <w:szCs w:val="20"/>
        </w:rPr>
        <w:t>medical issues. This type of visit could be completed in 30 minutes.</w:t>
      </w:r>
      <w:r w:rsidRPr="00EF47DB">
        <w:rPr>
          <w:rFonts w:ascii="Lato" w:hAnsi="Lato"/>
          <w:sz w:val="20"/>
          <w:szCs w:val="20"/>
        </w:rPr>
        <w:t xml:space="preserve"> A complicated new patient or CNP </w:t>
      </w:r>
      <w:r>
        <w:rPr>
          <w:rFonts w:ascii="Lato" w:hAnsi="Lato"/>
          <w:sz w:val="20"/>
          <w:szCs w:val="20"/>
        </w:rPr>
        <w:t>w</w:t>
      </w:r>
      <w:r w:rsidRPr="00EF47DB">
        <w:rPr>
          <w:rFonts w:ascii="Lato" w:hAnsi="Lato"/>
          <w:sz w:val="20"/>
          <w:szCs w:val="20"/>
        </w:rPr>
        <w:t xml:space="preserve">ould be defined as </w:t>
      </w:r>
      <w:r>
        <w:rPr>
          <w:rFonts w:ascii="Lato" w:hAnsi="Lato"/>
          <w:sz w:val="20"/>
          <w:szCs w:val="20"/>
        </w:rPr>
        <w:t>one</w:t>
      </w:r>
      <w:r w:rsidRPr="00EF47DB">
        <w:rPr>
          <w:rFonts w:ascii="Lato" w:hAnsi="Lato"/>
          <w:sz w:val="20"/>
          <w:szCs w:val="20"/>
        </w:rPr>
        <w:t xml:space="preserve"> that </w:t>
      </w:r>
      <w:r>
        <w:rPr>
          <w:rFonts w:ascii="Lato" w:hAnsi="Lato"/>
          <w:sz w:val="20"/>
          <w:szCs w:val="20"/>
        </w:rPr>
        <w:t>had &lt;14</w:t>
      </w:r>
      <w:r w:rsidRPr="00D90688">
        <w:rPr>
          <w:rFonts w:ascii="Lato" w:hAnsi="Lato"/>
          <w:sz w:val="20"/>
          <w:szCs w:val="20"/>
        </w:rPr>
        <w:t xml:space="preserve"> </w:t>
      </w:r>
      <w:r>
        <w:rPr>
          <w:rFonts w:ascii="Lato" w:hAnsi="Lato"/>
          <w:sz w:val="20"/>
          <w:szCs w:val="20"/>
        </w:rPr>
        <w:t>h</w:t>
      </w:r>
      <w:r w:rsidRPr="00D90688">
        <w:rPr>
          <w:rFonts w:ascii="Lato" w:hAnsi="Lato"/>
          <w:sz w:val="20"/>
          <w:szCs w:val="20"/>
        </w:rPr>
        <w:t>ealth literacy</w:t>
      </w:r>
      <w:r>
        <w:rPr>
          <w:rFonts w:ascii="Lato" w:hAnsi="Lato"/>
          <w:sz w:val="20"/>
          <w:szCs w:val="20"/>
        </w:rPr>
        <w:t xml:space="preserve">, and &lt;14 E-literacy and well-managed </w:t>
      </w:r>
      <w:r w:rsidRPr="00D90688">
        <w:rPr>
          <w:rFonts w:ascii="Lato" w:hAnsi="Lato"/>
          <w:sz w:val="20"/>
          <w:szCs w:val="20"/>
        </w:rPr>
        <w:t>medical issues</w:t>
      </w:r>
      <w:r w:rsidRPr="00EF47DB">
        <w:rPr>
          <w:rFonts w:ascii="Lato" w:hAnsi="Lato"/>
          <w:sz w:val="20"/>
          <w:szCs w:val="20"/>
        </w:rPr>
        <w:t>.</w:t>
      </w:r>
      <w:r w:rsidRPr="00FA65E2">
        <w:rPr>
          <w:rFonts w:ascii="Lato" w:hAnsi="Lato"/>
          <w:sz w:val="20"/>
          <w:szCs w:val="20"/>
        </w:rPr>
        <w:t xml:space="preserve"> A </w:t>
      </w:r>
      <w:r>
        <w:rPr>
          <w:rFonts w:ascii="Lato" w:hAnsi="Lato"/>
          <w:sz w:val="20"/>
          <w:szCs w:val="20"/>
        </w:rPr>
        <w:t xml:space="preserve">highly </w:t>
      </w:r>
      <w:r w:rsidRPr="00FA65E2">
        <w:rPr>
          <w:rFonts w:ascii="Lato" w:hAnsi="Lato"/>
          <w:sz w:val="20"/>
          <w:szCs w:val="20"/>
        </w:rPr>
        <w:t>complicated new patient</w:t>
      </w:r>
      <w:r>
        <w:rPr>
          <w:rFonts w:ascii="Lato" w:hAnsi="Lato"/>
          <w:sz w:val="20"/>
          <w:szCs w:val="20"/>
        </w:rPr>
        <w:t xml:space="preserve"> </w:t>
      </w:r>
      <w:r w:rsidRPr="00FA65E2">
        <w:rPr>
          <w:rFonts w:ascii="Lato" w:hAnsi="Lato"/>
          <w:sz w:val="20"/>
          <w:szCs w:val="20"/>
        </w:rPr>
        <w:t>or HC</w:t>
      </w:r>
      <w:r>
        <w:rPr>
          <w:rFonts w:ascii="Lato" w:hAnsi="Lato"/>
          <w:sz w:val="20"/>
          <w:szCs w:val="20"/>
        </w:rPr>
        <w:t>N</w:t>
      </w:r>
      <w:r w:rsidRPr="00FA65E2">
        <w:rPr>
          <w:rFonts w:ascii="Lato" w:hAnsi="Lato"/>
          <w:sz w:val="20"/>
          <w:szCs w:val="20"/>
        </w:rPr>
        <w:t xml:space="preserve">P, </w:t>
      </w:r>
      <w:r>
        <w:rPr>
          <w:rFonts w:ascii="Lato" w:hAnsi="Lato"/>
          <w:sz w:val="20"/>
          <w:szCs w:val="20"/>
        </w:rPr>
        <w:t>w</w:t>
      </w:r>
      <w:r w:rsidRPr="00FA65E2">
        <w:rPr>
          <w:rFonts w:ascii="Lato" w:hAnsi="Lato"/>
          <w:sz w:val="20"/>
          <w:szCs w:val="20"/>
        </w:rPr>
        <w:t>ould be defined as one</w:t>
      </w:r>
      <w:r>
        <w:rPr>
          <w:rFonts w:ascii="Lato" w:hAnsi="Lato"/>
          <w:sz w:val="20"/>
          <w:szCs w:val="20"/>
        </w:rPr>
        <w:t xml:space="preserve"> that</w:t>
      </w:r>
      <w:r w:rsidRPr="00FA65E2">
        <w:rPr>
          <w:rFonts w:ascii="Lato" w:hAnsi="Lato"/>
          <w:sz w:val="20"/>
          <w:szCs w:val="20"/>
        </w:rPr>
        <w:t xml:space="preserve"> </w:t>
      </w:r>
      <w:r>
        <w:rPr>
          <w:rFonts w:ascii="Lato" w:hAnsi="Lato"/>
          <w:sz w:val="20"/>
          <w:szCs w:val="20"/>
        </w:rPr>
        <w:t>had &lt;14</w:t>
      </w:r>
      <w:r w:rsidRPr="00D90688">
        <w:rPr>
          <w:rFonts w:ascii="Lato" w:hAnsi="Lato"/>
          <w:sz w:val="20"/>
          <w:szCs w:val="20"/>
        </w:rPr>
        <w:t xml:space="preserve"> health</w:t>
      </w:r>
      <w:r w:rsidRPr="000B7C23">
        <w:rPr>
          <w:rFonts w:ascii="Lato" w:hAnsi="Lato"/>
          <w:b/>
          <w:bCs/>
          <w:sz w:val="20"/>
          <w:szCs w:val="20"/>
        </w:rPr>
        <w:t xml:space="preserve"> </w:t>
      </w:r>
      <w:r w:rsidRPr="000B7C23">
        <w:rPr>
          <w:rFonts w:ascii="Lato" w:hAnsi="Lato"/>
          <w:sz w:val="20"/>
          <w:szCs w:val="20"/>
        </w:rPr>
        <w:t>literacy, and &lt;14 E-</w:t>
      </w:r>
      <w:r>
        <w:rPr>
          <w:rFonts w:ascii="Lato" w:hAnsi="Lato"/>
          <w:sz w:val="20"/>
          <w:szCs w:val="20"/>
        </w:rPr>
        <w:t>literacy</w:t>
      </w:r>
      <w:r w:rsidRPr="000B7C23">
        <w:rPr>
          <w:rFonts w:ascii="Lato" w:hAnsi="Lato"/>
          <w:sz w:val="20"/>
          <w:szCs w:val="20"/>
        </w:rPr>
        <w:t xml:space="preserve">, </w:t>
      </w:r>
      <w:r>
        <w:rPr>
          <w:rFonts w:ascii="Lato" w:hAnsi="Lato"/>
          <w:sz w:val="20"/>
          <w:szCs w:val="20"/>
        </w:rPr>
        <w:t>as well as</w:t>
      </w:r>
      <w:r w:rsidRPr="000B7C23">
        <w:rPr>
          <w:rFonts w:ascii="Lato" w:hAnsi="Lato"/>
          <w:sz w:val="20"/>
          <w:szCs w:val="20"/>
        </w:rPr>
        <w:t xml:space="preserve"> unmanaged medical issues.</w:t>
      </w:r>
      <w:r w:rsidRPr="000B7C23">
        <w:rPr>
          <w:rFonts w:ascii="Lato" w:hAnsi="Lato"/>
          <w:b/>
          <w:bCs/>
          <w:sz w:val="20"/>
          <w:szCs w:val="20"/>
        </w:rPr>
        <w:t xml:space="preserve"> </w:t>
      </w:r>
    </w:p>
    <w:p w14:paraId="69E9AC2C" w14:textId="77777777" w:rsidR="00985F05" w:rsidRPr="000B7C23" w:rsidRDefault="00985F05" w:rsidP="00985F05">
      <w:pPr>
        <w:jc w:val="center"/>
        <w:rPr>
          <w:rFonts w:ascii="Lato" w:hAnsi="Lato"/>
          <w:b/>
          <w:bCs/>
          <w:sz w:val="20"/>
          <w:szCs w:val="20"/>
        </w:rPr>
      </w:pPr>
      <w:r w:rsidRPr="000B7C23">
        <w:rPr>
          <w:rFonts w:ascii="Lato" w:hAnsi="Lato"/>
          <w:b/>
          <w:bCs/>
          <w:sz w:val="20"/>
          <w:szCs w:val="20"/>
        </w:rPr>
        <w:t>Conclusion</w:t>
      </w:r>
    </w:p>
    <w:p w14:paraId="447F1310" w14:textId="77777777" w:rsidR="00985F05" w:rsidRDefault="00985F05" w:rsidP="00985F05">
      <w:pPr>
        <w:spacing w:after="0" w:line="480" w:lineRule="auto"/>
        <w:ind w:firstLine="720"/>
        <w:rPr>
          <w:rFonts w:ascii="Lato" w:hAnsi="Lato"/>
          <w:sz w:val="20"/>
          <w:szCs w:val="20"/>
        </w:rPr>
      </w:pPr>
      <w:r>
        <w:rPr>
          <w:rFonts w:ascii="Lato" w:hAnsi="Lato"/>
          <w:sz w:val="20"/>
          <w:szCs w:val="20"/>
        </w:rPr>
        <w:t>There are many advantages to the use of PGHD, and this paper touched on t</w:t>
      </w:r>
      <w:r w:rsidRPr="00217D5E">
        <w:rPr>
          <w:rFonts w:ascii="Lato" w:hAnsi="Lato"/>
          <w:sz w:val="20"/>
          <w:szCs w:val="20"/>
        </w:rPr>
        <w:t xml:space="preserve">he benefits </w:t>
      </w:r>
      <w:r>
        <w:rPr>
          <w:rFonts w:ascii="Lato" w:hAnsi="Lato"/>
          <w:sz w:val="20"/>
          <w:szCs w:val="20"/>
        </w:rPr>
        <w:t xml:space="preserve">which included </w:t>
      </w:r>
      <w:r w:rsidRPr="00217D5E">
        <w:rPr>
          <w:rFonts w:ascii="Lato" w:hAnsi="Lato"/>
          <w:sz w:val="20"/>
          <w:szCs w:val="20"/>
        </w:rPr>
        <w:t xml:space="preserve">increased patient engagement (PE), safety against interoperability issues when seeing providers outside the patient’s usual health system, </w:t>
      </w:r>
      <w:r>
        <w:rPr>
          <w:rFonts w:ascii="Lato" w:hAnsi="Lato"/>
          <w:sz w:val="20"/>
          <w:szCs w:val="20"/>
        </w:rPr>
        <w:t>fewer in-person tasks for clinic staff, and greater access to records</w:t>
      </w:r>
      <w:r w:rsidRPr="00217D5E">
        <w:rPr>
          <w:rFonts w:ascii="Lato" w:hAnsi="Lato"/>
          <w:sz w:val="20"/>
          <w:szCs w:val="20"/>
        </w:rPr>
        <w:t xml:space="preserve">. This paper </w:t>
      </w:r>
      <w:r>
        <w:rPr>
          <w:rFonts w:ascii="Lato" w:hAnsi="Lato"/>
          <w:sz w:val="20"/>
          <w:szCs w:val="20"/>
        </w:rPr>
        <w:t>examined</w:t>
      </w:r>
      <w:r w:rsidRPr="00217D5E">
        <w:rPr>
          <w:rFonts w:ascii="Lato" w:hAnsi="Lato"/>
          <w:sz w:val="20"/>
          <w:szCs w:val="20"/>
        </w:rPr>
        <w:t xml:space="preserve"> the current use of PHRs, a current state intake workflow analysis of an ambulatory clinic, and a future based workflow plan based on that analysis and pertinent research. </w:t>
      </w:r>
      <w:r>
        <w:rPr>
          <w:rFonts w:ascii="Lato" w:hAnsi="Lato"/>
          <w:sz w:val="20"/>
          <w:szCs w:val="20"/>
        </w:rPr>
        <w:t xml:space="preserve">The use of a PHR and PGHD can significantly streamline the future workflow of a primary care clinic, and may one day, necessitate fewer in-person medical assistants. </w:t>
      </w:r>
    </w:p>
    <w:p w14:paraId="5A0B290C" w14:textId="77777777" w:rsidR="00985F05" w:rsidRPr="00551746" w:rsidRDefault="00985F05" w:rsidP="00985F05">
      <w:pPr>
        <w:spacing w:after="0" w:line="480" w:lineRule="auto"/>
        <w:ind w:firstLine="720"/>
        <w:rPr>
          <w:rFonts w:ascii="Lato" w:hAnsi="Lato"/>
          <w:sz w:val="20"/>
          <w:szCs w:val="20"/>
        </w:rPr>
      </w:pPr>
    </w:p>
    <w:p w14:paraId="7932A233" w14:textId="77777777" w:rsidR="00985F05" w:rsidRPr="00217D5E" w:rsidRDefault="00985F05" w:rsidP="00985F05">
      <w:pPr>
        <w:spacing w:after="0" w:line="480" w:lineRule="auto"/>
        <w:jc w:val="center"/>
        <w:rPr>
          <w:rFonts w:ascii="Lato" w:hAnsi="Lato"/>
          <w:b/>
          <w:bCs/>
          <w:sz w:val="20"/>
          <w:szCs w:val="20"/>
        </w:rPr>
      </w:pPr>
      <w:r w:rsidRPr="00217D5E">
        <w:rPr>
          <w:rFonts w:ascii="Lato" w:hAnsi="Lato"/>
          <w:b/>
          <w:bCs/>
          <w:sz w:val="20"/>
          <w:szCs w:val="20"/>
        </w:rPr>
        <w:lastRenderedPageBreak/>
        <w:t>References</w:t>
      </w:r>
    </w:p>
    <w:p w14:paraId="26856D7F" w14:textId="77777777" w:rsidR="00985F05" w:rsidRPr="00217D5E" w:rsidRDefault="00985F05" w:rsidP="00985F05">
      <w:pPr>
        <w:spacing w:after="0" w:line="480" w:lineRule="auto"/>
        <w:rPr>
          <w:rFonts w:ascii="Lato" w:hAnsi="Lato"/>
          <w:sz w:val="20"/>
          <w:szCs w:val="20"/>
        </w:rPr>
      </w:pPr>
      <w:r w:rsidRPr="00217D5E">
        <w:rPr>
          <w:rFonts w:ascii="Lato" w:hAnsi="Lato"/>
          <w:sz w:val="20"/>
          <w:szCs w:val="20"/>
        </w:rPr>
        <w:t>Agency for Healthcare Research and Quality (AHRQ). (</w:t>
      </w:r>
      <w:proofErr w:type="spellStart"/>
      <w:r w:rsidRPr="00217D5E">
        <w:rPr>
          <w:rFonts w:ascii="Lato" w:hAnsi="Lato"/>
          <w:sz w:val="20"/>
          <w:szCs w:val="20"/>
        </w:rPr>
        <w:t>n.d.</w:t>
      </w:r>
      <w:r>
        <w:rPr>
          <w:rFonts w:ascii="Lato" w:hAnsi="Lato"/>
          <w:sz w:val="20"/>
          <w:szCs w:val="20"/>
        </w:rPr>
        <w:t>a</w:t>
      </w:r>
      <w:proofErr w:type="spellEnd"/>
      <w:r w:rsidRPr="00217D5E">
        <w:rPr>
          <w:rFonts w:ascii="Lato" w:hAnsi="Lato"/>
          <w:sz w:val="20"/>
          <w:szCs w:val="20"/>
        </w:rPr>
        <w:t xml:space="preserve">). Integrating patient-generated digital health </w:t>
      </w:r>
    </w:p>
    <w:p w14:paraId="67C67B6C" w14:textId="77777777" w:rsidR="00985F05" w:rsidRDefault="00985F05" w:rsidP="00985F05">
      <w:pPr>
        <w:spacing w:after="0" w:line="240" w:lineRule="auto"/>
        <w:ind w:left="720"/>
        <w:rPr>
          <w:rFonts w:ascii="Lato" w:hAnsi="Lato"/>
          <w:sz w:val="20"/>
          <w:szCs w:val="20"/>
        </w:rPr>
      </w:pPr>
      <w:r w:rsidRPr="00217D5E">
        <w:rPr>
          <w:rFonts w:ascii="Lato" w:hAnsi="Lato"/>
          <w:sz w:val="20"/>
          <w:szCs w:val="20"/>
        </w:rPr>
        <w:t xml:space="preserve">data into electronic health records in ambulatory care settings: A practical guide. </w:t>
      </w:r>
    </w:p>
    <w:p w14:paraId="4479D9B7" w14:textId="77777777" w:rsidR="00985F05" w:rsidRDefault="00985F05" w:rsidP="00985F05">
      <w:pPr>
        <w:spacing w:after="0" w:line="240" w:lineRule="auto"/>
        <w:ind w:left="720"/>
        <w:rPr>
          <w:rFonts w:ascii="Lato" w:hAnsi="Lato"/>
          <w:sz w:val="20"/>
          <w:szCs w:val="20"/>
        </w:rPr>
      </w:pPr>
    </w:p>
    <w:p w14:paraId="11A22883" w14:textId="77777777" w:rsidR="00985F05" w:rsidRDefault="000A26EC" w:rsidP="00985F05">
      <w:pPr>
        <w:spacing w:after="0" w:line="240" w:lineRule="auto"/>
        <w:ind w:left="720"/>
        <w:rPr>
          <w:rFonts w:ascii="Lato" w:hAnsi="Lato"/>
          <w:sz w:val="20"/>
          <w:szCs w:val="20"/>
        </w:rPr>
      </w:pPr>
      <w:hyperlink r:id="rId6" w:history="1">
        <w:r w:rsidR="00985F05" w:rsidRPr="005958CF">
          <w:rPr>
            <w:rStyle w:val="Hyperlink"/>
            <w:rFonts w:ascii="Lato" w:hAnsi="Lato"/>
            <w:sz w:val="20"/>
            <w:szCs w:val="20"/>
          </w:rPr>
          <w:t>https://digital.ahrq.gov/sites/default/files/docs/citation/pghd-practical-guide.pdf</w:t>
        </w:r>
      </w:hyperlink>
    </w:p>
    <w:p w14:paraId="14F8D3B4" w14:textId="77777777" w:rsidR="00985F05" w:rsidRPr="00217D5E" w:rsidRDefault="00985F05" w:rsidP="00985F05">
      <w:pPr>
        <w:spacing w:after="0" w:line="240" w:lineRule="auto"/>
        <w:ind w:left="720"/>
        <w:rPr>
          <w:rFonts w:ascii="Lato" w:hAnsi="Lato"/>
          <w:sz w:val="20"/>
          <w:szCs w:val="20"/>
        </w:rPr>
      </w:pPr>
    </w:p>
    <w:p w14:paraId="28DE5704" w14:textId="77777777" w:rsidR="00985F05" w:rsidRDefault="00985F05" w:rsidP="00985F05">
      <w:pPr>
        <w:spacing w:after="0" w:line="480" w:lineRule="auto"/>
        <w:rPr>
          <w:rFonts w:ascii="Lato" w:hAnsi="Lato"/>
          <w:sz w:val="20"/>
          <w:szCs w:val="20"/>
        </w:rPr>
      </w:pPr>
      <w:r w:rsidRPr="00217D5E">
        <w:rPr>
          <w:rFonts w:ascii="Lato" w:hAnsi="Lato"/>
          <w:sz w:val="20"/>
          <w:szCs w:val="20"/>
        </w:rPr>
        <w:t>Agency for Healthcare Research and Quality (AHRQ</w:t>
      </w:r>
      <w:r>
        <w:rPr>
          <w:rFonts w:ascii="Lato" w:hAnsi="Lato"/>
          <w:sz w:val="20"/>
          <w:szCs w:val="20"/>
        </w:rPr>
        <w:t>). (</w:t>
      </w:r>
      <w:proofErr w:type="spellStart"/>
      <w:r>
        <w:rPr>
          <w:rFonts w:ascii="Lato" w:hAnsi="Lato"/>
          <w:sz w:val="20"/>
          <w:szCs w:val="20"/>
        </w:rPr>
        <w:t>n.d.b</w:t>
      </w:r>
      <w:proofErr w:type="spellEnd"/>
      <w:r>
        <w:rPr>
          <w:rFonts w:ascii="Lato" w:hAnsi="Lato"/>
          <w:sz w:val="20"/>
          <w:szCs w:val="20"/>
        </w:rPr>
        <w:t xml:space="preserve">). </w:t>
      </w:r>
      <w:r w:rsidRPr="00FD4F78">
        <w:rPr>
          <w:rFonts w:ascii="Lato" w:hAnsi="Lato"/>
          <w:sz w:val="20"/>
          <w:szCs w:val="20"/>
        </w:rPr>
        <w:t xml:space="preserve">The 18 items of SAHL-E, ordered </w:t>
      </w:r>
      <w:proofErr w:type="gramStart"/>
      <w:r w:rsidRPr="00FD4F78">
        <w:rPr>
          <w:rFonts w:ascii="Lato" w:hAnsi="Lato"/>
          <w:sz w:val="20"/>
          <w:szCs w:val="20"/>
        </w:rPr>
        <w:t>according</w:t>
      </w:r>
      <w:proofErr w:type="gramEnd"/>
      <w:r w:rsidRPr="00FD4F78">
        <w:rPr>
          <w:rFonts w:ascii="Lato" w:hAnsi="Lato"/>
          <w:sz w:val="20"/>
          <w:szCs w:val="20"/>
        </w:rPr>
        <w:t xml:space="preserve"> </w:t>
      </w:r>
    </w:p>
    <w:p w14:paraId="74BCF7E3" w14:textId="77777777" w:rsidR="00985F05" w:rsidRDefault="00985F05" w:rsidP="00985F05">
      <w:pPr>
        <w:spacing w:after="0" w:line="480" w:lineRule="auto"/>
        <w:ind w:left="720"/>
        <w:rPr>
          <w:rFonts w:ascii="Lato" w:hAnsi="Lato"/>
          <w:sz w:val="20"/>
          <w:szCs w:val="20"/>
        </w:rPr>
      </w:pPr>
      <w:r w:rsidRPr="00FD4F78">
        <w:rPr>
          <w:rFonts w:ascii="Lato" w:hAnsi="Lato"/>
          <w:sz w:val="20"/>
          <w:szCs w:val="20"/>
        </w:rPr>
        <w:t>to item difficulty</w:t>
      </w:r>
      <w:r>
        <w:rPr>
          <w:rFonts w:ascii="Lato" w:hAnsi="Lato"/>
          <w:sz w:val="20"/>
          <w:szCs w:val="20"/>
        </w:rPr>
        <w:t xml:space="preserve">. </w:t>
      </w:r>
      <w:hyperlink r:id="rId7" w:history="1">
        <w:r w:rsidRPr="005958CF">
          <w:rPr>
            <w:rStyle w:val="Hyperlink"/>
            <w:rFonts w:ascii="Lato" w:hAnsi="Lato"/>
            <w:sz w:val="20"/>
            <w:szCs w:val="20"/>
          </w:rPr>
          <w:t>https://www.ahrq.gov/sites/default/files/wysiwyg/professionals/quality-patient-safety/quality-resources/tools/literacy/sahl-e-form-user-guide.pdf</w:t>
        </w:r>
      </w:hyperlink>
      <w:r>
        <w:rPr>
          <w:rFonts w:ascii="Lato" w:hAnsi="Lato"/>
          <w:sz w:val="20"/>
          <w:szCs w:val="20"/>
        </w:rPr>
        <w:t xml:space="preserve"> </w:t>
      </w:r>
    </w:p>
    <w:p w14:paraId="107EAB97" w14:textId="77777777" w:rsidR="00985F05" w:rsidRPr="00217D5E" w:rsidRDefault="00985F05" w:rsidP="00985F05">
      <w:pPr>
        <w:spacing w:after="0" w:line="480" w:lineRule="auto"/>
        <w:rPr>
          <w:rFonts w:ascii="Lato" w:hAnsi="Lato"/>
          <w:sz w:val="20"/>
          <w:szCs w:val="20"/>
        </w:rPr>
      </w:pPr>
      <w:r w:rsidRPr="00217D5E">
        <w:rPr>
          <w:rFonts w:ascii="Lato" w:hAnsi="Lato"/>
          <w:sz w:val="20"/>
          <w:szCs w:val="20"/>
        </w:rPr>
        <w:t xml:space="preserve">Agency for Healthcare Research and Quality (AHRQ). (2021). Integrating patient-generated digital health </w:t>
      </w:r>
    </w:p>
    <w:p w14:paraId="66897786" w14:textId="77777777" w:rsidR="00985F05" w:rsidRDefault="00985F05" w:rsidP="00985F05">
      <w:pPr>
        <w:spacing w:after="0" w:line="480" w:lineRule="auto"/>
        <w:ind w:left="720"/>
        <w:rPr>
          <w:rFonts w:ascii="Lato" w:hAnsi="Lato"/>
          <w:sz w:val="20"/>
          <w:szCs w:val="20"/>
        </w:rPr>
      </w:pPr>
      <w:r w:rsidRPr="00217D5E">
        <w:rPr>
          <w:rFonts w:ascii="Lato" w:hAnsi="Lato"/>
          <w:sz w:val="20"/>
          <w:szCs w:val="20"/>
        </w:rPr>
        <w:t xml:space="preserve">data into electronic health records in ambulatory care settings. </w:t>
      </w:r>
      <w:hyperlink r:id="rId8" w:history="1">
        <w:r w:rsidRPr="00217D5E">
          <w:rPr>
            <w:rStyle w:val="Hyperlink"/>
            <w:rFonts w:ascii="Lato" w:hAnsi="Lato"/>
            <w:sz w:val="20"/>
            <w:szCs w:val="20"/>
          </w:rPr>
          <w:t>https://digital.ahrq.gov/ahrq-funded-projects/integrating-patient-generated-digital-health-data-electronic-health-recorgarciac29ds</w:t>
        </w:r>
      </w:hyperlink>
      <w:r w:rsidRPr="00217D5E">
        <w:rPr>
          <w:rFonts w:ascii="Lato" w:hAnsi="Lato"/>
          <w:sz w:val="20"/>
          <w:szCs w:val="20"/>
        </w:rPr>
        <w:t xml:space="preserve"> </w:t>
      </w:r>
    </w:p>
    <w:p w14:paraId="42BB4E4F" w14:textId="77777777" w:rsidR="00985F05" w:rsidRPr="00217D5E" w:rsidRDefault="00985F05" w:rsidP="00985F05">
      <w:pPr>
        <w:spacing w:after="0" w:line="480" w:lineRule="auto"/>
        <w:rPr>
          <w:rFonts w:ascii="Lato" w:hAnsi="Lato" w:cs="Arial"/>
          <w:i/>
          <w:iCs/>
          <w:color w:val="222222"/>
          <w:sz w:val="20"/>
          <w:szCs w:val="20"/>
          <w:shd w:val="clear" w:color="auto" w:fill="FFFFFF"/>
        </w:rPr>
      </w:pPr>
      <w:proofErr w:type="spellStart"/>
      <w:r w:rsidRPr="00217D5E">
        <w:rPr>
          <w:rFonts w:ascii="Lato" w:hAnsi="Lato" w:cs="Arial"/>
          <w:color w:val="222222"/>
          <w:sz w:val="20"/>
          <w:szCs w:val="20"/>
          <w:shd w:val="clear" w:color="auto" w:fill="FFFFFF"/>
          <w:lang w:val="es-ES"/>
        </w:rPr>
        <w:t>Alsahafi</w:t>
      </w:r>
      <w:proofErr w:type="spellEnd"/>
      <w:r w:rsidRPr="00217D5E">
        <w:rPr>
          <w:rFonts w:ascii="Lato" w:hAnsi="Lato" w:cs="Arial"/>
          <w:color w:val="222222"/>
          <w:sz w:val="20"/>
          <w:szCs w:val="20"/>
          <w:shd w:val="clear" w:color="auto" w:fill="FFFFFF"/>
          <w:lang w:val="es-ES"/>
        </w:rPr>
        <w:t xml:space="preserve">, Y. A., &amp; Gay, V. (2018). </w:t>
      </w:r>
      <w:r w:rsidRPr="00217D5E">
        <w:rPr>
          <w:rFonts w:ascii="Lato" w:hAnsi="Lato" w:cs="Arial"/>
          <w:color w:val="222222"/>
          <w:sz w:val="20"/>
          <w:szCs w:val="20"/>
          <w:shd w:val="clear" w:color="auto" w:fill="FFFFFF"/>
        </w:rPr>
        <w:t>An overview of electronic personal health records. </w:t>
      </w:r>
      <w:r w:rsidRPr="00217D5E">
        <w:rPr>
          <w:rFonts w:ascii="Lato" w:hAnsi="Lato" w:cs="Arial"/>
          <w:i/>
          <w:iCs/>
          <w:color w:val="222222"/>
          <w:sz w:val="20"/>
          <w:szCs w:val="20"/>
          <w:shd w:val="clear" w:color="auto" w:fill="FFFFFF"/>
        </w:rPr>
        <w:t xml:space="preserve">Health Policy and </w:t>
      </w:r>
    </w:p>
    <w:p w14:paraId="26B8057E" w14:textId="77777777" w:rsidR="00985F05" w:rsidRPr="00951A29" w:rsidRDefault="00985F05" w:rsidP="00985F05">
      <w:pPr>
        <w:spacing w:after="0" w:line="480" w:lineRule="auto"/>
        <w:ind w:left="720"/>
        <w:rPr>
          <w:rFonts w:ascii="Lato" w:hAnsi="Lato" w:cs="Arial"/>
          <w:color w:val="222222"/>
          <w:sz w:val="20"/>
          <w:szCs w:val="20"/>
          <w:shd w:val="clear" w:color="auto" w:fill="FFFFFF"/>
        </w:rPr>
      </w:pPr>
      <w:r w:rsidRPr="00217D5E">
        <w:rPr>
          <w:rFonts w:ascii="Lato" w:hAnsi="Lato" w:cs="Arial"/>
          <w:i/>
          <w:iCs/>
          <w:color w:val="222222"/>
          <w:sz w:val="20"/>
          <w:szCs w:val="20"/>
          <w:shd w:val="clear" w:color="auto" w:fill="FFFFFF"/>
        </w:rPr>
        <w:t>Technology</w:t>
      </w:r>
      <w:r w:rsidRPr="00217D5E">
        <w:rPr>
          <w:rFonts w:ascii="Lato" w:hAnsi="Lato" w:cs="Arial"/>
          <w:color w:val="222222"/>
          <w:sz w:val="20"/>
          <w:szCs w:val="20"/>
          <w:shd w:val="clear" w:color="auto" w:fill="FFFFFF"/>
        </w:rPr>
        <w:t>, </w:t>
      </w:r>
      <w:r w:rsidRPr="00217D5E">
        <w:rPr>
          <w:rFonts w:ascii="Lato" w:hAnsi="Lato" w:cs="Arial"/>
          <w:i/>
          <w:iCs/>
          <w:color w:val="222222"/>
          <w:sz w:val="20"/>
          <w:szCs w:val="20"/>
          <w:shd w:val="clear" w:color="auto" w:fill="FFFFFF"/>
        </w:rPr>
        <w:t>7</w:t>
      </w:r>
      <w:r w:rsidRPr="00217D5E">
        <w:rPr>
          <w:rFonts w:ascii="Lato" w:hAnsi="Lato" w:cs="Arial"/>
          <w:color w:val="222222"/>
          <w:sz w:val="20"/>
          <w:szCs w:val="20"/>
          <w:shd w:val="clear" w:color="auto" w:fill="FFFFFF"/>
        </w:rPr>
        <w:t>(4), 427-432.</w:t>
      </w:r>
      <w:r>
        <w:rPr>
          <w:rFonts w:ascii="Lato" w:hAnsi="Lato"/>
          <w:sz w:val="20"/>
          <w:szCs w:val="20"/>
        </w:rPr>
        <w:t xml:space="preserve"> </w:t>
      </w:r>
      <w:hyperlink r:id="rId9" w:history="1">
        <w:r w:rsidRPr="005958CF">
          <w:rPr>
            <w:rStyle w:val="Hyperlink"/>
            <w:rFonts w:ascii="Lato" w:hAnsi="Lato" w:cs="Arial"/>
            <w:sz w:val="20"/>
            <w:szCs w:val="20"/>
            <w:shd w:val="clear" w:color="auto" w:fill="FFFFFF"/>
          </w:rPr>
          <w:t>https://www.sciencedirect.com/science/article/abs/pii/S2211883718301266</w:t>
        </w:r>
      </w:hyperlink>
      <w:r w:rsidRPr="00217D5E">
        <w:rPr>
          <w:rFonts w:ascii="Lato" w:hAnsi="Lato" w:cs="Arial"/>
          <w:color w:val="222222"/>
          <w:sz w:val="20"/>
          <w:szCs w:val="20"/>
          <w:shd w:val="clear" w:color="auto" w:fill="FFFFFF"/>
        </w:rPr>
        <w:t xml:space="preserve"> </w:t>
      </w:r>
    </w:p>
    <w:p w14:paraId="7CB76F9D" w14:textId="77777777" w:rsidR="00985F05" w:rsidRDefault="00985F05" w:rsidP="00985F05">
      <w:pPr>
        <w:spacing w:after="0" w:line="240" w:lineRule="auto"/>
        <w:rPr>
          <w:rFonts w:ascii="Lato" w:hAnsi="Lato"/>
          <w:i/>
          <w:iCs/>
          <w:sz w:val="20"/>
          <w:szCs w:val="20"/>
        </w:rPr>
      </w:pPr>
      <w:r w:rsidRPr="00217D5E">
        <w:rPr>
          <w:rFonts w:ascii="Lato" w:hAnsi="Lato"/>
          <w:sz w:val="20"/>
          <w:szCs w:val="20"/>
        </w:rPr>
        <w:t xml:space="preserve">Hebda, T., Hunter, K. M., &amp; Czar, P. (2019). </w:t>
      </w:r>
      <w:r w:rsidRPr="00217D5E">
        <w:rPr>
          <w:rFonts w:ascii="Lato" w:hAnsi="Lato"/>
          <w:i/>
          <w:iCs/>
          <w:sz w:val="20"/>
          <w:szCs w:val="20"/>
        </w:rPr>
        <w:t xml:space="preserve">Handbook of Informatics for Nurses and healthcare </w:t>
      </w:r>
    </w:p>
    <w:p w14:paraId="2441C6C2" w14:textId="77777777" w:rsidR="00985F05" w:rsidRPr="000C4FEB" w:rsidRDefault="00985F05" w:rsidP="00985F05">
      <w:pPr>
        <w:spacing w:after="0" w:line="240" w:lineRule="auto"/>
        <w:rPr>
          <w:rFonts w:ascii="Lato" w:hAnsi="Lato"/>
          <w:sz w:val="20"/>
          <w:szCs w:val="20"/>
        </w:rPr>
      </w:pPr>
    </w:p>
    <w:p w14:paraId="0A72C989" w14:textId="77777777" w:rsidR="00985F05" w:rsidRPr="009164FF" w:rsidRDefault="00985F05" w:rsidP="00985F05">
      <w:pPr>
        <w:spacing w:after="0" w:line="480" w:lineRule="auto"/>
        <w:ind w:firstLine="720"/>
        <w:rPr>
          <w:rFonts w:ascii="Lato" w:hAnsi="Lato" w:cs="Arial"/>
          <w:color w:val="222222"/>
          <w:sz w:val="20"/>
          <w:szCs w:val="20"/>
          <w:shd w:val="clear" w:color="auto" w:fill="FFFFFF"/>
        </w:rPr>
      </w:pPr>
      <w:r w:rsidRPr="009164FF">
        <w:rPr>
          <w:rFonts w:ascii="Lato" w:hAnsi="Lato" w:cs="Arial"/>
          <w:i/>
          <w:iCs/>
          <w:color w:val="222222"/>
          <w:sz w:val="20"/>
          <w:szCs w:val="20"/>
          <w:shd w:val="clear" w:color="auto" w:fill="FFFFFF"/>
        </w:rPr>
        <w:t>professionals</w:t>
      </w:r>
      <w:r w:rsidRPr="009164FF">
        <w:rPr>
          <w:rFonts w:ascii="Lato" w:hAnsi="Lato" w:cs="Arial"/>
          <w:color w:val="222222"/>
          <w:sz w:val="20"/>
          <w:szCs w:val="20"/>
          <w:shd w:val="clear" w:color="auto" w:fill="FFFFFF"/>
        </w:rPr>
        <w:t xml:space="preserve"> (6th ed.). Pearson. </w:t>
      </w:r>
    </w:p>
    <w:p w14:paraId="70AA4410" w14:textId="77777777" w:rsidR="00985F05" w:rsidRPr="00217D5E" w:rsidRDefault="00985F05" w:rsidP="00985F05">
      <w:pPr>
        <w:spacing w:after="0" w:line="480" w:lineRule="auto"/>
        <w:rPr>
          <w:rFonts w:ascii="Lato" w:hAnsi="Lato" w:cs="Arial"/>
          <w:color w:val="222222"/>
          <w:sz w:val="20"/>
          <w:szCs w:val="20"/>
          <w:shd w:val="clear" w:color="auto" w:fill="FFFFFF"/>
        </w:rPr>
      </w:pPr>
      <w:r w:rsidRPr="009164FF">
        <w:rPr>
          <w:rFonts w:ascii="Lato" w:hAnsi="Lato" w:cs="Arial"/>
          <w:color w:val="222222"/>
          <w:sz w:val="20"/>
          <w:szCs w:val="20"/>
          <w:shd w:val="clear" w:color="auto" w:fill="FFFFFF"/>
        </w:rPr>
        <w:t xml:space="preserve"> Hussein, R., </w:t>
      </w:r>
      <w:proofErr w:type="spellStart"/>
      <w:r w:rsidRPr="009164FF">
        <w:rPr>
          <w:rFonts w:ascii="Lato" w:hAnsi="Lato" w:cs="Arial"/>
          <w:color w:val="222222"/>
          <w:sz w:val="20"/>
          <w:szCs w:val="20"/>
          <w:shd w:val="clear" w:color="auto" w:fill="FFFFFF"/>
        </w:rPr>
        <w:t>Crutzen</w:t>
      </w:r>
      <w:proofErr w:type="spellEnd"/>
      <w:r w:rsidRPr="009164FF">
        <w:rPr>
          <w:rFonts w:ascii="Lato" w:hAnsi="Lato" w:cs="Arial"/>
          <w:color w:val="222222"/>
          <w:sz w:val="20"/>
          <w:szCs w:val="20"/>
          <w:shd w:val="clear" w:color="auto" w:fill="FFFFFF"/>
        </w:rPr>
        <w:t xml:space="preserve">, R., Gutenberg, J., </w:t>
      </w:r>
      <w:proofErr w:type="spellStart"/>
      <w:r w:rsidRPr="009164FF">
        <w:rPr>
          <w:rFonts w:ascii="Lato" w:hAnsi="Lato" w:cs="Arial"/>
          <w:color w:val="222222"/>
          <w:sz w:val="20"/>
          <w:szCs w:val="20"/>
          <w:shd w:val="clear" w:color="auto" w:fill="FFFFFF"/>
        </w:rPr>
        <w:t>Kulnik</w:t>
      </w:r>
      <w:proofErr w:type="spellEnd"/>
      <w:r w:rsidRPr="009164FF">
        <w:rPr>
          <w:rFonts w:ascii="Lato" w:hAnsi="Lato" w:cs="Arial"/>
          <w:color w:val="222222"/>
          <w:sz w:val="20"/>
          <w:szCs w:val="20"/>
          <w:shd w:val="clear" w:color="auto" w:fill="FFFFFF"/>
        </w:rPr>
        <w:t xml:space="preserve">, S. T., </w:t>
      </w:r>
      <w:proofErr w:type="spellStart"/>
      <w:r w:rsidRPr="009164FF">
        <w:rPr>
          <w:rFonts w:ascii="Lato" w:hAnsi="Lato" w:cs="Arial"/>
          <w:color w:val="222222"/>
          <w:sz w:val="20"/>
          <w:szCs w:val="20"/>
          <w:shd w:val="clear" w:color="auto" w:fill="FFFFFF"/>
        </w:rPr>
        <w:t>Sareban</w:t>
      </w:r>
      <w:proofErr w:type="spellEnd"/>
      <w:r w:rsidRPr="009164FF">
        <w:rPr>
          <w:rFonts w:ascii="Lato" w:hAnsi="Lato" w:cs="Arial"/>
          <w:color w:val="222222"/>
          <w:sz w:val="20"/>
          <w:szCs w:val="20"/>
          <w:shd w:val="clear" w:color="auto" w:fill="FFFFFF"/>
        </w:rPr>
        <w:t xml:space="preserve">, M., &amp; </w:t>
      </w:r>
      <w:proofErr w:type="spellStart"/>
      <w:r w:rsidRPr="009164FF">
        <w:rPr>
          <w:rFonts w:ascii="Lato" w:hAnsi="Lato" w:cs="Arial"/>
          <w:color w:val="222222"/>
          <w:sz w:val="20"/>
          <w:szCs w:val="20"/>
          <w:shd w:val="clear" w:color="auto" w:fill="FFFFFF"/>
        </w:rPr>
        <w:t>Niebauer</w:t>
      </w:r>
      <w:proofErr w:type="spellEnd"/>
      <w:r w:rsidRPr="009164FF">
        <w:rPr>
          <w:rFonts w:ascii="Lato" w:hAnsi="Lato" w:cs="Arial"/>
          <w:color w:val="222222"/>
          <w:sz w:val="20"/>
          <w:szCs w:val="20"/>
          <w:shd w:val="clear" w:color="auto" w:fill="FFFFFF"/>
        </w:rPr>
        <w:t xml:space="preserve">, J. (2021, May). </w:t>
      </w:r>
      <w:r w:rsidRPr="00217D5E">
        <w:rPr>
          <w:rFonts w:ascii="Lato" w:hAnsi="Lato" w:cs="Arial"/>
          <w:color w:val="222222"/>
          <w:sz w:val="20"/>
          <w:szCs w:val="20"/>
          <w:shd w:val="clear" w:color="auto" w:fill="FFFFFF"/>
        </w:rPr>
        <w:t>Patient-</w:t>
      </w:r>
    </w:p>
    <w:p w14:paraId="4F021BF6" w14:textId="77777777" w:rsidR="00985F05" w:rsidRPr="00217D5E" w:rsidRDefault="00985F05" w:rsidP="00985F05">
      <w:pPr>
        <w:spacing w:after="0" w:line="480" w:lineRule="auto"/>
        <w:ind w:left="720"/>
        <w:rPr>
          <w:rFonts w:ascii="Lato" w:hAnsi="Lato" w:cs="Arial"/>
          <w:color w:val="222222"/>
          <w:sz w:val="20"/>
          <w:szCs w:val="20"/>
          <w:shd w:val="clear" w:color="auto" w:fill="FFFFFF"/>
        </w:rPr>
      </w:pPr>
      <w:r w:rsidRPr="00217D5E">
        <w:rPr>
          <w:rFonts w:ascii="Lato" w:hAnsi="Lato" w:cs="Arial"/>
          <w:color w:val="222222"/>
          <w:sz w:val="20"/>
          <w:szCs w:val="20"/>
          <w:shd w:val="clear" w:color="auto" w:fill="FFFFFF"/>
        </w:rPr>
        <w:t>generated health data (PGHD) interoperability: An integrative perspective. In </w:t>
      </w:r>
      <w:r w:rsidRPr="00217D5E">
        <w:rPr>
          <w:rFonts w:ascii="Lato" w:hAnsi="Lato" w:cs="Arial"/>
          <w:i/>
          <w:iCs/>
          <w:color w:val="222222"/>
          <w:sz w:val="20"/>
          <w:szCs w:val="20"/>
          <w:shd w:val="clear" w:color="auto" w:fill="FFFFFF"/>
        </w:rPr>
        <w:t>MIE</w:t>
      </w:r>
      <w:r w:rsidRPr="00217D5E">
        <w:rPr>
          <w:rFonts w:ascii="Lato" w:hAnsi="Lato" w:cs="Arial"/>
          <w:color w:val="222222"/>
          <w:sz w:val="20"/>
          <w:szCs w:val="20"/>
          <w:shd w:val="clear" w:color="auto" w:fill="FFFFFF"/>
        </w:rPr>
        <w:t> (pp. 228-232).</w:t>
      </w:r>
      <w:r w:rsidRPr="00217D5E">
        <w:rPr>
          <w:rFonts w:ascii="Lato" w:hAnsi="Lato"/>
          <w:sz w:val="20"/>
          <w:szCs w:val="20"/>
        </w:rPr>
        <w:t xml:space="preserve"> </w:t>
      </w:r>
      <w:hyperlink r:id="rId10" w:history="1">
        <w:r w:rsidRPr="00217D5E">
          <w:rPr>
            <w:rStyle w:val="Hyperlink"/>
            <w:rFonts w:ascii="Lato" w:hAnsi="Lato" w:cs="Arial"/>
            <w:sz w:val="20"/>
            <w:szCs w:val="20"/>
            <w:shd w:val="clear" w:color="auto" w:fill="FFFFFF"/>
          </w:rPr>
          <w:t>https://eds.p.ebscohost.com/eds/pdfviewer/pdfviewer?vid=2&amp;sid=dff8d892-d4bb-44d0-9beb-74e4cbd22826%40redis</w:t>
        </w:r>
      </w:hyperlink>
      <w:r w:rsidRPr="00217D5E">
        <w:rPr>
          <w:rFonts w:ascii="Lato" w:hAnsi="Lato" w:cs="Arial"/>
          <w:color w:val="222222"/>
          <w:sz w:val="20"/>
          <w:szCs w:val="20"/>
          <w:shd w:val="clear" w:color="auto" w:fill="FFFFFF"/>
        </w:rPr>
        <w:t xml:space="preserve"> </w:t>
      </w:r>
    </w:p>
    <w:p w14:paraId="1EF799D7" w14:textId="77777777" w:rsidR="00985F05" w:rsidRPr="00217D5E" w:rsidRDefault="00985F05" w:rsidP="00985F05">
      <w:pPr>
        <w:spacing w:after="0" w:line="480" w:lineRule="auto"/>
        <w:rPr>
          <w:rFonts w:ascii="Lato" w:hAnsi="Lato"/>
          <w:i/>
          <w:iCs/>
          <w:color w:val="212121"/>
          <w:sz w:val="20"/>
          <w:szCs w:val="20"/>
          <w:shd w:val="clear" w:color="auto" w:fill="FFFFFF"/>
        </w:rPr>
      </w:pPr>
      <w:proofErr w:type="spellStart"/>
      <w:r w:rsidRPr="00217D5E">
        <w:rPr>
          <w:rFonts w:ascii="Lato" w:hAnsi="Lato"/>
          <w:color w:val="212121"/>
          <w:sz w:val="20"/>
          <w:szCs w:val="20"/>
          <w:shd w:val="clear" w:color="auto" w:fill="FFFFFF"/>
        </w:rPr>
        <w:t>Kaelber</w:t>
      </w:r>
      <w:proofErr w:type="spellEnd"/>
      <w:r w:rsidRPr="00217D5E">
        <w:rPr>
          <w:rFonts w:ascii="Lato" w:hAnsi="Lato"/>
          <w:color w:val="212121"/>
          <w:sz w:val="20"/>
          <w:szCs w:val="20"/>
          <w:shd w:val="clear" w:color="auto" w:fill="FFFFFF"/>
        </w:rPr>
        <w:t>, D., &amp; Pan, E. C. (2008). The value of personal health record (PHR) systems. </w:t>
      </w:r>
      <w:r w:rsidRPr="00217D5E">
        <w:rPr>
          <w:rFonts w:ascii="Lato" w:hAnsi="Lato"/>
          <w:i/>
          <w:iCs/>
          <w:color w:val="212121"/>
          <w:sz w:val="20"/>
          <w:szCs w:val="20"/>
          <w:shd w:val="clear" w:color="auto" w:fill="FFFFFF"/>
        </w:rPr>
        <w:t xml:space="preserve">AMIA ... Annual </w:t>
      </w:r>
    </w:p>
    <w:p w14:paraId="1BD58F0B" w14:textId="77777777" w:rsidR="00985F05" w:rsidRPr="00217D5E" w:rsidRDefault="00985F05" w:rsidP="00985F05">
      <w:pPr>
        <w:spacing w:after="0" w:line="480" w:lineRule="auto"/>
        <w:ind w:firstLine="720"/>
        <w:rPr>
          <w:rFonts w:ascii="Lato" w:hAnsi="Lato" w:cs="Arial"/>
          <w:color w:val="222222"/>
          <w:sz w:val="20"/>
          <w:szCs w:val="20"/>
          <w:shd w:val="clear" w:color="auto" w:fill="FFFFFF"/>
        </w:rPr>
      </w:pPr>
      <w:r w:rsidRPr="00217D5E">
        <w:rPr>
          <w:rFonts w:ascii="Lato" w:hAnsi="Lato"/>
          <w:i/>
          <w:iCs/>
          <w:color w:val="212121"/>
          <w:sz w:val="20"/>
          <w:szCs w:val="20"/>
          <w:shd w:val="clear" w:color="auto" w:fill="FFFFFF"/>
        </w:rPr>
        <w:t>Symposium proceedings. AMIA Symposium</w:t>
      </w:r>
      <w:r w:rsidRPr="00217D5E">
        <w:rPr>
          <w:rFonts w:ascii="Lato" w:hAnsi="Lato"/>
          <w:color w:val="212121"/>
          <w:sz w:val="20"/>
          <w:szCs w:val="20"/>
          <w:shd w:val="clear" w:color="auto" w:fill="FFFFFF"/>
        </w:rPr>
        <w:t>, </w:t>
      </w:r>
      <w:r w:rsidRPr="00217D5E">
        <w:rPr>
          <w:rFonts w:ascii="Lato" w:hAnsi="Lato"/>
          <w:i/>
          <w:iCs/>
          <w:color w:val="212121"/>
          <w:sz w:val="20"/>
          <w:szCs w:val="20"/>
          <w:shd w:val="clear" w:color="auto" w:fill="FFFFFF"/>
        </w:rPr>
        <w:t>2008</w:t>
      </w:r>
      <w:r w:rsidRPr="00217D5E">
        <w:rPr>
          <w:rFonts w:ascii="Lato" w:hAnsi="Lato"/>
          <w:color w:val="212121"/>
          <w:sz w:val="20"/>
          <w:szCs w:val="20"/>
          <w:shd w:val="clear" w:color="auto" w:fill="FFFFFF"/>
        </w:rPr>
        <w:t>, 343–347.</w:t>
      </w:r>
      <w:r w:rsidRPr="00217D5E">
        <w:rPr>
          <w:rFonts w:ascii="Lato" w:hAnsi="Lato"/>
          <w:sz w:val="20"/>
          <w:szCs w:val="20"/>
        </w:rPr>
        <w:tab/>
      </w:r>
      <w:hyperlink r:id="rId11" w:history="1">
        <w:r w:rsidRPr="00217D5E">
          <w:rPr>
            <w:rStyle w:val="Hyperlink"/>
            <w:rFonts w:ascii="Lato" w:hAnsi="Lato"/>
            <w:sz w:val="20"/>
            <w:szCs w:val="20"/>
            <w:shd w:val="clear" w:color="auto" w:fill="FFFFFF"/>
          </w:rPr>
          <w:t>https://www.ncbi.nlm.nih.gov/pmc/articles/PMC2655982/</w:t>
        </w:r>
      </w:hyperlink>
      <w:r w:rsidRPr="00217D5E">
        <w:rPr>
          <w:rFonts w:ascii="Lato" w:hAnsi="Lato"/>
          <w:color w:val="212121"/>
          <w:sz w:val="20"/>
          <w:szCs w:val="20"/>
          <w:shd w:val="clear" w:color="auto" w:fill="FFFFFF"/>
        </w:rPr>
        <w:t xml:space="preserve"> </w:t>
      </w:r>
    </w:p>
    <w:p w14:paraId="6ADD6CD7" w14:textId="77777777" w:rsidR="00985F05" w:rsidRPr="00217D5E" w:rsidRDefault="00985F05" w:rsidP="00985F05">
      <w:pPr>
        <w:spacing w:after="0" w:line="480" w:lineRule="auto"/>
        <w:rPr>
          <w:rFonts w:ascii="Lato" w:hAnsi="Lato" w:cs="Arial"/>
          <w:color w:val="222222"/>
          <w:sz w:val="20"/>
          <w:szCs w:val="20"/>
          <w:shd w:val="clear" w:color="auto" w:fill="FFFFFF"/>
        </w:rPr>
      </w:pPr>
      <w:proofErr w:type="spellStart"/>
      <w:r w:rsidRPr="00217D5E">
        <w:rPr>
          <w:rFonts w:ascii="Lato" w:hAnsi="Lato" w:cs="Arial"/>
          <w:color w:val="222222"/>
          <w:sz w:val="20"/>
          <w:szCs w:val="20"/>
          <w:shd w:val="clear" w:color="auto" w:fill="FFFFFF"/>
        </w:rPr>
        <w:t>Lordon</w:t>
      </w:r>
      <w:proofErr w:type="spellEnd"/>
      <w:r w:rsidRPr="00217D5E">
        <w:rPr>
          <w:rFonts w:ascii="Lato" w:hAnsi="Lato" w:cs="Arial"/>
          <w:color w:val="222222"/>
          <w:sz w:val="20"/>
          <w:szCs w:val="20"/>
          <w:shd w:val="clear" w:color="auto" w:fill="FFFFFF"/>
        </w:rPr>
        <w:t xml:space="preserve">, R. J., </w:t>
      </w:r>
      <w:proofErr w:type="spellStart"/>
      <w:r w:rsidRPr="00217D5E">
        <w:rPr>
          <w:rFonts w:ascii="Lato" w:hAnsi="Lato" w:cs="Arial"/>
          <w:color w:val="222222"/>
          <w:sz w:val="20"/>
          <w:szCs w:val="20"/>
          <w:shd w:val="clear" w:color="auto" w:fill="FFFFFF"/>
        </w:rPr>
        <w:t>Mikles</w:t>
      </w:r>
      <w:proofErr w:type="spellEnd"/>
      <w:r w:rsidRPr="00217D5E">
        <w:rPr>
          <w:rFonts w:ascii="Lato" w:hAnsi="Lato" w:cs="Arial"/>
          <w:color w:val="222222"/>
          <w:sz w:val="20"/>
          <w:szCs w:val="20"/>
          <w:shd w:val="clear" w:color="auto" w:fill="FFFFFF"/>
        </w:rPr>
        <w:t xml:space="preserve">, S. P., </w:t>
      </w:r>
      <w:proofErr w:type="spellStart"/>
      <w:r w:rsidRPr="00217D5E">
        <w:rPr>
          <w:rFonts w:ascii="Lato" w:hAnsi="Lato" w:cs="Arial"/>
          <w:color w:val="222222"/>
          <w:sz w:val="20"/>
          <w:szCs w:val="20"/>
          <w:shd w:val="clear" w:color="auto" w:fill="FFFFFF"/>
        </w:rPr>
        <w:t>Kneale</w:t>
      </w:r>
      <w:proofErr w:type="spellEnd"/>
      <w:r w:rsidRPr="00217D5E">
        <w:rPr>
          <w:rFonts w:ascii="Lato" w:hAnsi="Lato" w:cs="Arial"/>
          <w:color w:val="222222"/>
          <w:sz w:val="20"/>
          <w:szCs w:val="20"/>
          <w:shd w:val="clear" w:color="auto" w:fill="FFFFFF"/>
        </w:rPr>
        <w:t xml:space="preserve">, L., Evans, H. L., Munson, S. A., </w:t>
      </w:r>
      <w:proofErr w:type="spellStart"/>
      <w:r w:rsidRPr="00217D5E">
        <w:rPr>
          <w:rFonts w:ascii="Lato" w:hAnsi="Lato" w:cs="Arial"/>
          <w:color w:val="222222"/>
          <w:sz w:val="20"/>
          <w:szCs w:val="20"/>
          <w:shd w:val="clear" w:color="auto" w:fill="FFFFFF"/>
        </w:rPr>
        <w:t>Backonja</w:t>
      </w:r>
      <w:proofErr w:type="spellEnd"/>
      <w:r w:rsidRPr="00217D5E">
        <w:rPr>
          <w:rFonts w:ascii="Lato" w:hAnsi="Lato" w:cs="Arial"/>
          <w:color w:val="222222"/>
          <w:sz w:val="20"/>
          <w:szCs w:val="20"/>
          <w:shd w:val="clear" w:color="auto" w:fill="FFFFFF"/>
        </w:rPr>
        <w:t xml:space="preserve">, U., &amp; </w:t>
      </w:r>
      <w:proofErr w:type="spellStart"/>
      <w:r w:rsidRPr="00217D5E">
        <w:rPr>
          <w:rFonts w:ascii="Lato" w:hAnsi="Lato" w:cs="Arial"/>
          <w:color w:val="222222"/>
          <w:sz w:val="20"/>
          <w:szCs w:val="20"/>
          <w:shd w:val="clear" w:color="auto" w:fill="FFFFFF"/>
        </w:rPr>
        <w:t>Lober</w:t>
      </w:r>
      <w:proofErr w:type="spellEnd"/>
      <w:r w:rsidRPr="00217D5E">
        <w:rPr>
          <w:rFonts w:ascii="Lato" w:hAnsi="Lato" w:cs="Arial"/>
          <w:color w:val="222222"/>
          <w:sz w:val="20"/>
          <w:szCs w:val="20"/>
          <w:shd w:val="clear" w:color="auto" w:fill="FFFFFF"/>
        </w:rPr>
        <w:t xml:space="preserve">, W. B. (2020). </w:t>
      </w:r>
      <w:proofErr w:type="gramStart"/>
      <w:r w:rsidRPr="00217D5E">
        <w:rPr>
          <w:rFonts w:ascii="Lato" w:hAnsi="Lato" w:cs="Arial"/>
          <w:color w:val="222222"/>
          <w:sz w:val="20"/>
          <w:szCs w:val="20"/>
          <w:shd w:val="clear" w:color="auto" w:fill="FFFFFF"/>
        </w:rPr>
        <w:t>How</w:t>
      </w:r>
      <w:proofErr w:type="gramEnd"/>
      <w:r w:rsidRPr="00217D5E">
        <w:rPr>
          <w:rFonts w:ascii="Lato" w:hAnsi="Lato" w:cs="Arial"/>
          <w:color w:val="222222"/>
          <w:sz w:val="20"/>
          <w:szCs w:val="20"/>
          <w:shd w:val="clear" w:color="auto" w:fill="FFFFFF"/>
        </w:rPr>
        <w:t xml:space="preserve"> </w:t>
      </w:r>
    </w:p>
    <w:p w14:paraId="4BA557C2" w14:textId="77777777" w:rsidR="00985F05" w:rsidRPr="00217D5E" w:rsidRDefault="00985F05" w:rsidP="00985F05">
      <w:pPr>
        <w:spacing w:after="0" w:line="480" w:lineRule="auto"/>
        <w:ind w:left="720"/>
        <w:rPr>
          <w:rFonts w:ascii="Lato" w:hAnsi="Lato" w:cs="Arial"/>
          <w:color w:val="222222"/>
          <w:sz w:val="20"/>
          <w:szCs w:val="20"/>
          <w:shd w:val="clear" w:color="auto" w:fill="FFFFFF"/>
        </w:rPr>
      </w:pPr>
      <w:r w:rsidRPr="00217D5E">
        <w:rPr>
          <w:rFonts w:ascii="Lato" w:hAnsi="Lato" w:cs="Arial"/>
          <w:color w:val="222222"/>
          <w:sz w:val="20"/>
          <w:szCs w:val="20"/>
          <w:shd w:val="clear" w:color="auto" w:fill="FFFFFF"/>
        </w:rPr>
        <w:t>patient-generated health data and patient-reported outcomes affect patient–clinician relationships: A systematic review. </w:t>
      </w:r>
      <w:r w:rsidRPr="00217D5E">
        <w:rPr>
          <w:rFonts w:ascii="Lato" w:hAnsi="Lato" w:cs="Arial"/>
          <w:i/>
          <w:iCs/>
          <w:color w:val="222222"/>
          <w:sz w:val="20"/>
          <w:szCs w:val="20"/>
          <w:shd w:val="clear" w:color="auto" w:fill="FFFFFF"/>
        </w:rPr>
        <w:t>Health Informatics Journal</w:t>
      </w:r>
      <w:r w:rsidRPr="00217D5E">
        <w:rPr>
          <w:rFonts w:ascii="Lato" w:hAnsi="Lato" w:cs="Arial"/>
          <w:color w:val="222222"/>
          <w:sz w:val="20"/>
          <w:szCs w:val="20"/>
          <w:shd w:val="clear" w:color="auto" w:fill="FFFFFF"/>
        </w:rPr>
        <w:t>, </w:t>
      </w:r>
      <w:r w:rsidRPr="00217D5E">
        <w:rPr>
          <w:rFonts w:ascii="Lato" w:hAnsi="Lato" w:cs="Arial"/>
          <w:i/>
          <w:iCs/>
          <w:color w:val="222222"/>
          <w:sz w:val="20"/>
          <w:szCs w:val="20"/>
          <w:shd w:val="clear" w:color="auto" w:fill="FFFFFF"/>
        </w:rPr>
        <w:t>26</w:t>
      </w:r>
      <w:r w:rsidRPr="00217D5E">
        <w:rPr>
          <w:rFonts w:ascii="Lato" w:hAnsi="Lato" w:cs="Arial"/>
          <w:color w:val="222222"/>
          <w:sz w:val="20"/>
          <w:szCs w:val="20"/>
          <w:shd w:val="clear" w:color="auto" w:fill="FFFFFF"/>
        </w:rPr>
        <w:t>(4), 2689-2706.</w:t>
      </w:r>
    </w:p>
    <w:p w14:paraId="21249DCC" w14:textId="77777777" w:rsidR="00985F05" w:rsidRPr="00217D5E" w:rsidRDefault="000A26EC" w:rsidP="00985F05">
      <w:pPr>
        <w:spacing w:after="0" w:line="480" w:lineRule="auto"/>
        <w:ind w:firstLine="720"/>
        <w:rPr>
          <w:rFonts w:ascii="Lato" w:hAnsi="Lato" w:cs="Arial"/>
          <w:color w:val="222222"/>
          <w:sz w:val="20"/>
          <w:szCs w:val="20"/>
          <w:shd w:val="clear" w:color="auto" w:fill="FFFFFF"/>
        </w:rPr>
      </w:pPr>
      <w:hyperlink r:id="rId12" w:history="1">
        <w:r w:rsidR="00985F05" w:rsidRPr="00217D5E">
          <w:rPr>
            <w:rStyle w:val="Hyperlink"/>
            <w:rFonts w:ascii="Lato" w:hAnsi="Lato" w:cs="Arial"/>
            <w:sz w:val="20"/>
            <w:szCs w:val="20"/>
            <w:shd w:val="clear" w:color="auto" w:fill="FFFFFF"/>
          </w:rPr>
          <w:t>https://journals.sagepub.com/doi/pdf/10.1177/1460458220928184</w:t>
        </w:r>
      </w:hyperlink>
      <w:r w:rsidR="00985F05" w:rsidRPr="00217D5E">
        <w:rPr>
          <w:rFonts w:ascii="Lato" w:hAnsi="Lato" w:cs="Arial"/>
          <w:color w:val="222222"/>
          <w:sz w:val="20"/>
          <w:szCs w:val="20"/>
          <w:shd w:val="clear" w:color="auto" w:fill="FFFFFF"/>
        </w:rPr>
        <w:t xml:space="preserve"> </w:t>
      </w:r>
    </w:p>
    <w:p w14:paraId="14C6594E" w14:textId="77777777" w:rsidR="00985F05" w:rsidRPr="00217D5E" w:rsidRDefault="00985F05" w:rsidP="00985F05">
      <w:pPr>
        <w:spacing w:after="0" w:line="480" w:lineRule="auto"/>
        <w:rPr>
          <w:rFonts w:ascii="Lato" w:hAnsi="Lato" w:cs="Segoe UI"/>
          <w:color w:val="212121"/>
          <w:sz w:val="20"/>
          <w:szCs w:val="20"/>
          <w:shd w:val="clear" w:color="auto" w:fill="FFFFFF"/>
        </w:rPr>
      </w:pPr>
      <w:proofErr w:type="spellStart"/>
      <w:r w:rsidRPr="00217D5E">
        <w:rPr>
          <w:rFonts w:ascii="Lato" w:hAnsi="Lato" w:cs="Segoe UI"/>
          <w:color w:val="212121"/>
          <w:sz w:val="20"/>
          <w:szCs w:val="20"/>
          <w:shd w:val="clear" w:color="auto" w:fill="FFFFFF"/>
        </w:rPr>
        <w:lastRenderedPageBreak/>
        <w:t>Ruhi</w:t>
      </w:r>
      <w:proofErr w:type="spellEnd"/>
      <w:r w:rsidRPr="00217D5E">
        <w:rPr>
          <w:rFonts w:ascii="Lato" w:hAnsi="Lato" w:cs="Segoe UI"/>
          <w:color w:val="212121"/>
          <w:sz w:val="20"/>
          <w:szCs w:val="20"/>
          <w:shd w:val="clear" w:color="auto" w:fill="FFFFFF"/>
        </w:rPr>
        <w:t xml:space="preserve">, U., &amp; Chugh, R. (2021). Utility, value, and benefits of contemporary Personal Health Records: </w:t>
      </w:r>
    </w:p>
    <w:p w14:paraId="185CAFAC" w14:textId="77777777" w:rsidR="00985F05" w:rsidRPr="00217D5E" w:rsidRDefault="00985F05" w:rsidP="00985F05">
      <w:pPr>
        <w:spacing w:after="0" w:line="480" w:lineRule="auto"/>
        <w:ind w:left="720"/>
        <w:rPr>
          <w:rFonts w:ascii="Lato" w:hAnsi="Lato"/>
          <w:sz w:val="20"/>
          <w:szCs w:val="20"/>
        </w:rPr>
      </w:pPr>
      <w:r w:rsidRPr="00217D5E">
        <w:rPr>
          <w:rFonts w:ascii="Lato" w:hAnsi="Lato" w:cs="Segoe UI"/>
          <w:color w:val="212121"/>
          <w:sz w:val="20"/>
          <w:szCs w:val="20"/>
          <w:shd w:val="clear" w:color="auto" w:fill="FFFFFF"/>
        </w:rPr>
        <w:t>Integrative review and conceptual synthesis. </w:t>
      </w:r>
      <w:r w:rsidRPr="00217D5E">
        <w:rPr>
          <w:rFonts w:ascii="Lato" w:hAnsi="Lato" w:cs="Segoe UI"/>
          <w:i/>
          <w:iCs/>
          <w:color w:val="212121"/>
          <w:sz w:val="20"/>
          <w:szCs w:val="20"/>
          <w:shd w:val="clear" w:color="auto" w:fill="FFFFFF"/>
        </w:rPr>
        <w:t>Journal of Medical Internet Research</w:t>
      </w:r>
      <w:r w:rsidRPr="00217D5E">
        <w:rPr>
          <w:rFonts w:ascii="Lato" w:hAnsi="Lato" w:cs="Segoe UI"/>
          <w:color w:val="212121"/>
          <w:sz w:val="20"/>
          <w:szCs w:val="20"/>
          <w:shd w:val="clear" w:color="auto" w:fill="FFFFFF"/>
        </w:rPr>
        <w:t xml:space="preserve">, </w:t>
      </w:r>
      <w:hyperlink r:id="rId13" w:history="1">
        <w:r w:rsidRPr="00217D5E">
          <w:rPr>
            <w:rStyle w:val="Hyperlink"/>
            <w:rFonts w:ascii="Lato" w:hAnsi="Lato" w:cs="Segoe UI"/>
            <w:sz w:val="20"/>
            <w:szCs w:val="20"/>
            <w:shd w:val="clear" w:color="auto" w:fill="FFFFFF"/>
          </w:rPr>
          <w:t>https://www.ncbi.nlm.nih.gov/pmc/articles/PMC8120425/</w:t>
        </w:r>
      </w:hyperlink>
      <w:r w:rsidRPr="00217D5E">
        <w:rPr>
          <w:rFonts w:ascii="Lato" w:hAnsi="Lato" w:cs="Segoe UI"/>
          <w:color w:val="212121"/>
          <w:sz w:val="20"/>
          <w:szCs w:val="20"/>
          <w:shd w:val="clear" w:color="auto" w:fill="FFFFFF"/>
        </w:rPr>
        <w:t xml:space="preserve"> </w:t>
      </w:r>
    </w:p>
    <w:p w14:paraId="36CC2503" w14:textId="77777777" w:rsidR="00985F05" w:rsidRPr="00217D5E" w:rsidRDefault="00985F05" w:rsidP="00985F05">
      <w:pPr>
        <w:autoSpaceDE w:val="0"/>
        <w:autoSpaceDN w:val="0"/>
        <w:adjustRightInd w:val="0"/>
        <w:spacing w:after="0" w:line="480" w:lineRule="auto"/>
        <w:rPr>
          <w:rFonts w:ascii="Lato" w:hAnsi="Lato" w:cs="Arial"/>
          <w:color w:val="222222"/>
          <w:sz w:val="20"/>
          <w:szCs w:val="20"/>
          <w:shd w:val="clear" w:color="auto" w:fill="FFFFFF"/>
        </w:rPr>
      </w:pPr>
      <w:r w:rsidRPr="00217D5E">
        <w:rPr>
          <w:rFonts w:ascii="Lato" w:hAnsi="Lato" w:cs="Arial"/>
          <w:color w:val="222222"/>
          <w:sz w:val="20"/>
          <w:szCs w:val="20"/>
          <w:shd w:val="clear" w:color="auto" w:fill="FFFFFF"/>
        </w:rPr>
        <w:t xml:space="preserve">Walker, D. M., Sieck, C. J., </w:t>
      </w:r>
      <w:proofErr w:type="spellStart"/>
      <w:r w:rsidRPr="00217D5E">
        <w:rPr>
          <w:rFonts w:ascii="Lato" w:hAnsi="Lato" w:cs="Arial"/>
          <w:color w:val="222222"/>
          <w:sz w:val="20"/>
          <w:szCs w:val="20"/>
          <w:shd w:val="clear" w:color="auto" w:fill="FFFFFF"/>
        </w:rPr>
        <w:t>Menser</w:t>
      </w:r>
      <w:proofErr w:type="spellEnd"/>
      <w:r w:rsidRPr="00217D5E">
        <w:rPr>
          <w:rFonts w:ascii="Lato" w:hAnsi="Lato" w:cs="Arial"/>
          <w:color w:val="222222"/>
          <w:sz w:val="20"/>
          <w:szCs w:val="20"/>
          <w:shd w:val="clear" w:color="auto" w:fill="FFFFFF"/>
        </w:rPr>
        <w:t xml:space="preserve">, T., Huerta, T. R., &amp; Scheck </w:t>
      </w:r>
      <w:proofErr w:type="spellStart"/>
      <w:r w:rsidRPr="00217D5E">
        <w:rPr>
          <w:rFonts w:ascii="Lato" w:hAnsi="Lato" w:cs="Arial"/>
          <w:color w:val="222222"/>
          <w:sz w:val="20"/>
          <w:szCs w:val="20"/>
          <w:shd w:val="clear" w:color="auto" w:fill="FFFFFF"/>
        </w:rPr>
        <w:t>McAlearney</w:t>
      </w:r>
      <w:proofErr w:type="spellEnd"/>
      <w:r w:rsidRPr="00217D5E">
        <w:rPr>
          <w:rFonts w:ascii="Lato" w:hAnsi="Lato" w:cs="Arial"/>
          <w:color w:val="222222"/>
          <w:sz w:val="20"/>
          <w:szCs w:val="20"/>
          <w:shd w:val="clear" w:color="auto" w:fill="FFFFFF"/>
        </w:rPr>
        <w:t xml:space="preserve">, A. (2017). Information </w:t>
      </w:r>
    </w:p>
    <w:p w14:paraId="50B4C186" w14:textId="77777777" w:rsidR="00985F05" w:rsidRPr="00217D5E" w:rsidRDefault="00985F05" w:rsidP="00985F05">
      <w:pPr>
        <w:autoSpaceDE w:val="0"/>
        <w:autoSpaceDN w:val="0"/>
        <w:adjustRightInd w:val="0"/>
        <w:spacing w:after="0" w:line="480" w:lineRule="auto"/>
        <w:ind w:firstLine="720"/>
        <w:rPr>
          <w:rFonts w:ascii="Lato" w:hAnsi="Lato" w:cs="Arial"/>
          <w:i/>
          <w:iCs/>
          <w:color w:val="222222"/>
          <w:sz w:val="20"/>
          <w:szCs w:val="20"/>
          <w:shd w:val="clear" w:color="auto" w:fill="FFFFFF"/>
        </w:rPr>
      </w:pPr>
      <w:r w:rsidRPr="00217D5E">
        <w:rPr>
          <w:rFonts w:ascii="Lato" w:hAnsi="Lato" w:cs="Arial"/>
          <w:color w:val="222222"/>
          <w:sz w:val="20"/>
          <w:szCs w:val="20"/>
          <w:shd w:val="clear" w:color="auto" w:fill="FFFFFF"/>
        </w:rPr>
        <w:t>technology to support patient engagement: where do we stand and where can we go?</w:t>
      </w:r>
      <w:r>
        <w:rPr>
          <w:rFonts w:ascii="Lato" w:hAnsi="Lato" w:cs="Arial"/>
          <w:color w:val="222222"/>
          <w:sz w:val="20"/>
          <w:szCs w:val="20"/>
          <w:shd w:val="clear" w:color="auto" w:fill="FFFFFF"/>
        </w:rPr>
        <w:t xml:space="preserve"> </w:t>
      </w:r>
      <w:r w:rsidRPr="00217D5E">
        <w:rPr>
          <w:rFonts w:ascii="Lato" w:hAnsi="Lato" w:cs="Arial"/>
          <w:i/>
          <w:iCs/>
          <w:color w:val="222222"/>
          <w:sz w:val="20"/>
          <w:szCs w:val="20"/>
          <w:shd w:val="clear" w:color="auto" w:fill="FFFFFF"/>
        </w:rPr>
        <w:t xml:space="preserve">Journal of </w:t>
      </w:r>
    </w:p>
    <w:p w14:paraId="41711EED" w14:textId="77777777" w:rsidR="00985F05" w:rsidRPr="00217D5E" w:rsidRDefault="00985F05" w:rsidP="00985F05">
      <w:pPr>
        <w:autoSpaceDE w:val="0"/>
        <w:autoSpaceDN w:val="0"/>
        <w:adjustRightInd w:val="0"/>
        <w:spacing w:after="0" w:line="240" w:lineRule="auto"/>
        <w:ind w:left="720"/>
        <w:rPr>
          <w:rFonts w:ascii="Lato" w:hAnsi="Lato" w:cs="Arial"/>
          <w:color w:val="222222"/>
          <w:sz w:val="20"/>
          <w:szCs w:val="20"/>
          <w:shd w:val="clear" w:color="auto" w:fill="FFFFFF"/>
        </w:rPr>
      </w:pPr>
      <w:r w:rsidRPr="00217D5E">
        <w:rPr>
          <w:rFonts w:ascii="Lato" w:hAnsi="Lato" w:cs="Arial"/>
          <w:i/>
          <w:iCs/>
          <w:color w:val="222222"/>
          <w:sz w:val="20"/>
          <w:szCs w:val="20"/>
          <w:shd w:val="clear" w:color="auto" w:fill="FFFFFF"/>
        </w:rPr>
        <w:t>the American Medical Informatics Association</w:t>
      </w:r>
      <w:r w:rsidRPr="00217D5E">
        <w:rPr>
          <w:rFonts w:ascii="Lato" w:hAnsi="Lato" w:cs="Arial"/>
          <w:color w:val="222222"/>
          <w:sz w:val="20"/>
          <w:szCs w:val="20"/>
          <w:shd w:val="clear" w:color="auto" w:fill="FFFFFF"/>
        </w:rPr>
        <w:t>, </w:t>
      </w:r>
      <w:r w:rsidRPr="00217D5E">
        <w:rPr>
          <w:rFonts w:ascii="Lato" w:hAnsi="Lato" w:cs="Arial"/>
          <w:i/>
          <w:iCs/>
          <w:color w:val="222222"/>
          <w:sz w:val="20"/>
          <w:szCs w:val="20"/>
          <w:shd w:val="clear" w:color="auto" w:fill="FFFFFF"/>
        </w:rPr>
        <w:t>24</w:t>
      </w:r>
      <w:r w:rsidRPr="00217D5E">
        <w:rPr>
          <w:rFonts w:ascii="Lato" w:hAnsi="Lato" w:cs="Arial"/>
          <w:color w:val="222222"/>
          <w:sz w:val="20"/>
          <w:szCs w:val="20"/>
          <w:shd w:val="clear" w:color="auto" w:fill="FFFFFF"/>
        </w:rPr>
        <w:t xml:space="preserve">(6), 1088-1094. </w:t>
      </w:r>
    </w:p>
    <w:p w14:paraId="2BBC3D7F" w14:textId="77777777" w:rsidR="00985F05" w:rsidRPr="00217D5E" w:rsidRDefault="00985F05" w:rsidP="00985F05">
      <w:pPr>
        <w:autoSpaceDE w:val="0"/>
        <w:autoSpaceDN w:val="0"/>
        <w:adjustRightInd w:val="0"/>
        <w:spacing w:after="0" w:line="240" w:lineRule="auto"/>
        <w:ind w:left="720"/>
        <w:rPr>
          <w:rFonts w:ascii="Lato" w:hAnsi="Lato"/>
          <w:sz w:val="20"/>
          <w:szCs w:val="20"/>
        </w:rPr>
      </w:pPr>
    </w:p>
    <w:p w14:paraId="6F8FEAFB" w14:textId="77777777" w:rsidR="00985F05" w:rsidRPr="00217D5E" w:rsidRDefault="000A26EC" w:rsidP="00985F05">
      <w:pPr>
        <w:autoSpaceDE w:val="0"/>
        <w:autoSpaceDN w:val="0"/>
        <w:adjustRightInd w:val="0"/>
        <w:spacing w:after="0" w:line="240" w:lineRule="auto"/>
        <w:ind w:left="720"/>
        <w:rPr>
          <w:rFonts w:ascii="Lato" w:hAnsi="Lato"/>
          <w:sz w:val="20"/>
          <w:szCs w:val="20"/>
        </w:rPr>
      </w:pPr>
      <w:hyperlink r:id="rId14" w:history="1">
        <w:r w:rsidR="00985F05" w:rsidRPr="00217D5E">
          <w:rPr>
            <w:rStyle w:val="Hyperlink"/>
            <w:rFonts w:ascii="Lato" w:hAnsi="Lato" w:cs="Arial"/>
            <w:sz w:val="20"/>
            <w:szCs w:val="20"/>
            <w:shd w:val="clear" w:color="auto" w:fill="FFFFFF"/>
          </w:rPr>
          <w:t>https://academic.oup.com/jamia/article/24/6/1088/3775742</w:t>
        </w:r>
      </w:hyperlink>
      <w:r w:rsidR="00985F05" w:rsidRPr="00217D5E">
        <w:rPr>
          <w:rFonts w:ascii="Lato" w:hAnsi="Lato" w:cs="Arial"/>
          <w:color w:val="222222"/>
          <w:sz w:val="20"/>
          <w:szCs w:val="20"/>
          <w:shd w:val="clear" w:color="auto" w:fill="FFFFFF"/>
        </w:rPr>
        <w:t xml:space="preserve"> </w:t>
      </w:r>
    </w:p>
    <w:p w14:paraId="7F3681B6" w14:textId="77777777" w:rsidR="00985F05" w:rsidRPr="00217D5E" w:rsidRDefault="00985F05" w:rsidP="00985F05">
      <w:pPr>
        <w:rPr>
          <w:rFonts w:ascii="Lato" w:hAnsi="Lato"/>
          <w:sz w:val="20"/>
          <w:szCs w:val="20"/>
        </w:rPr>
      </w:pPr>
    </w:p>
    <w:p w14:paraId="2D44E15A" w14:textId="77777777" w:rsidR="00E85BB6" w:rsidRDefault="00E85BB6"/>
    <w:p w14:paraId="2C3C825D" w14:textId="77777777" w:rsidR="00D7301B" w:rsidRDefault="00D7301B"/>
    <w:p w14:paraId="508B8151" w14:textId="77777777" w:rsidR="00D7301B" w:rsidRDefault="00D7301B"/>
    <w:p w14:paraId="25725DE0" w14:textId="77777777" w:rsidR="00D7301B" w:rsidRDefault="00D7301B"/>
    <w:p w14:paraId="133D2236" w14:textId="77777777" w:rsidR="00D7301B" w:rsidRDefault="00D7301B"/>
    <w:p w14:paraId="26A56FAE" w14:textId="77777777" w:rsidR="00D7301B" w:rsidRDefault="00D7301B"/>
    <w:p w14:paraId="0960999C" w14:textId="77777777" w:rsidR="00D7301B" w:rsidRDefault="00D7301B"/>
    <w:p w14:paraId="24AE429A" w14:textId="77777777" w:rsidR="00D7301B" w:rsidRDefault="00D7301B"/>
    <w:p w14:paraId="7C25F061" w14:textId="77777777" w:rsidR="00D7301B" w:rsidRDefault="00D7301B"/>
    <w:p w14:paraId="1770AA29" w14:textId="77777777" w:rsidR="00D7301B" w:rsidRDefault="00D7301B"/>
    <w:p w14:paraId="2ADDBEF3" w14:textId="77777777" w:rsidR="00D7301B" w:rsidRDefault="00D7301B"/>
    <w:p w14:paraId="67DFFB91" w14:textId="77777777" w:rsidR="00D7301B" w:rsidRDefault="00D7301B"/>
    <w:p w14:paraId="490FCDE9" w14:textId="77777777" w:rsidR="00D7301B" w:rsidRDefault="00D7301B"/>
    <w:p w14:paraId="0BC8C171" w14:textId="77777777" w:rsidR="00D7301B" w:rsidRDefault="00D7301B"/>
    <w:p w14:paraId="4F5E431D" w14:textId="77777777" w:rsidR="00D7301B" w:rsidRDefault="00D7301B"/>
    <w:p w14:paraId="63D572D2" w14:textId="77777777" w:rsidR="00D7301B" w:rsidRDefault="00D7301B"/>
    <w:p w14:paraId="166DF4C3" w14:textId="77777777" w:rsidR="00D7301B" w:rsidRDefault="00D7301B"/>
    <w:p w14:paraId="0B88DA6C" w14:textId="77777777" w:rsidR="00D7301B" w:rsidRDefault="00D7301B"/>
    <w:p w14:paraId="7EB0B817" w14:textId="77777777" w:rsidR="00D7301B" w:rsidRDefault="00D7301B"/>
    <w:p w14:paraId="1B944B32" w14:textId="77777777" w:rsidR="00D7301B" w:rsidRDefault="00D7301B"/>
    <w:p w14:paraId="74CD507A" w14:textId="77777777" w:rsidR="00D7301B" w:rsidRDefault="00D7301B"/>
    <w:p w14:paraId="082A76EA" w14:textId="77777777" w:rsidR="00A46537" w:rsidRDefault="00A46537" w:rsidP="00A46537">
      <w:pPr>
        <w:spacing w:after="0" w:line="480" w:lineRule="auto"/>
        <w:jc w:val="center"/>
        <w:rPr>
          <w:rFonts w:ascii="Lato" w:hAnsi="Lato"/>
          <w:b/>
          <w:bCs/>
          <w:sz w:val="20"/>
          <w:szCs w:val="20"/>
        </w:rPr>
      </w:pPr>
      <w:r w:rsidRPr="00A9332C">
        <w:rPr>
          <w:rFonts w:ascii="Lato" w:hAnsi="Lato"/>
          <w:b/>
          <w:bCs/>
          <w:sz w:val="20"/>
          <w:szCs w:val="20"/>
        </w:rPr>
        <w:lastRenderedPageBreak/>
        <w:t>Appendix A</w:t>
      </w:r>
    </w:p>
    <w:p w14:paraId="60209D89" w14:textId="77777777" w:rsidR="00A46537" w:rsidRPr="00A9332C" w:rsidRDefault="00A46537" w:rsidP="00A46537">
      <w:pPr>
        <w:spacing w:after="0" w:line="480" w:lineRule="auto"/>
        <w:jc w:val="both"/>
        <w:rPr>
          <w:rFonts w:ascii="Lato" w:hAnsi="Lato"/>
          <w:b/>
          <w:bCs/>
          <w:sz w:val="20"/>
          <w:szCs w:val="20"/>
        </w:rPr>
      </w:pPr>
      <w:r>
        <w:rPr>
          <w:rFonts w:ascii="Lato" w:hAnsi="Lato"/>
          <w:b/>
          <w:bCs/>
          <w:sz w:val="20"/>
          <w:szCs w:val="20"/>
        </w:rPr>
        <w:t>Current State Workflow</w:t>
      </w:r>
    </w:p>
    <w:p w14:paraId="5E488941" w14:textId="77777777" w:rsidR="00A46537" w:rsidRDefault="00A46537" w:rsidP="00A46537">
      <w:pPr>
        <w:spacing w:after="0" w:line="480" w:lineRule="auto"/>
        <w:rPr>
          <w:rFonts w:ascii="Lato" w:hAnsi="Lato"/>
          <w:sz w:val="20"/>
          <w:szCs w:val="20"/>
        </w:rPr>
      </w:pPr>
      <w:r w:rsidRPr="00583B4D">
        <w:rPr>
          <w:noProof/>
        </w:rPr>
        <w:drawing>
          <wp:anchor distT="0" distB="0" distL="114300" distR="114300" simplePos="0" relativeHeight="251659264" behindDoc="0" locked="0" layoutInCell="1" allowOverlap="1" wp14:anchorId="14D031FB" wp14:editId="121A1C2A">
            <wp:simplePos x="0" y="0"/>
            <wp:positionH relativeFrom="column">
              <wp:posOffset>-422521</wp:posOffset>
            </wp:positionH>
            <wp:positionV relativeFrom="paragraph">
              <wp:posOffset>295578</wp:posOffset>
            </wp:positionV>
            <wp:extent cx="6789761" cy="3830122"/>
            <wp:effectExtent l="0" t="0" r="0" b="0"/>
            <wp:wrapNone/>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89761" cy="3830122"/>
                    </a:xfrm>
                    <a:prstGeom prst="rect">
                      <a:avLst/>
                    </a:prstGeom>
                  </pic:spPr>
                </pic:pic>
              </a:graphicData>
            </a:graphic>
            <wp14:sizeRelH relativeFrom="page">
              <wp14:pctWidth>0</wp14:pctWidth>
            </wp14:sizeRelH>
            <wp14:sizeRelV relativeFrom="page">
              <wp14:pctHeight>0</wp14:pctHeight>
            </wp14:sizeRelV>
          </wp:anchor>
        </w:drawing>
      </w:r>
    </w:p>
    <w:p w14:paraId="1FC65F74" w14:textId="77777777" w:rsidR="00A46537" w:rsidRDefault="00A46537" w:rsidP="00A46537">
      <w:pPr>
        <w:spacing w:after="0" w:line="480" w:lineRule="auto"/>
        <w:rPr>
          <w:rFonts w:ascii="Lato" w:hAnsi="Lato"/>
          <w:sz w:val="20"/>
          <w:szCs w:val="20"/>
        </w:rPr>
      </w:pPr>
    </w:p>
    <w:p w14:paraId="18489AA4" w14:textId="77777777" w:rsidR="00A46537" w:rsidRDefault="00A46537" w:rsidP="00A46537">
      <w:pPr>
        <w:spacing w:after="0" w:line="480" w:lineRule="auto"/>
        <w:rPr>
          <w:rFonts w:ascii="Lato" w:hAnsi="Lato"/>
          <w:sz w:val="20"/>
          <w:szCs w:val="20"/>
        </w:rPr>
      </w:pPr>
    </w:p>
    <w:p w14:paraId="34615394" w14:textId="77777777" w:rsidR="00A46537" w:rsidRDefault="00A46537" w:rsidP="00A46537">
      <w:pPr>
        <w:spacing w:after="0" w:line="480" w:lineRule="auto"/>
        <w:rPr>
          <w:rFonts w:ascii="Lato" w:hAnsi="Lato"/>
          <w:sz w:val="20"/>
          <w:szCs w:val="20"/>
        </w:rPr>
      </w:pPr>
    </w:p>
    <w:p w14:paraId="144694DC" w14:textId="48CD545E" w:rsidR="00D7301B" w:rsidRDefault="00D7301B" w:rsidP="00A46537">
      <w:pPr>
        <w:jc w:val="center"/>
      </w:pPr>
    </w:p>
    <w:p w14:paraId="46A4B14A" w14:textId="77777777" w:rsidR="00A46537" w:rsidRDefault="00A46537" w:rsidP="00A46537">
      <w:pPr>
        <w:jc w:val="center"/>
      </w:pPr>
    </w:p>
    <w:p w14:paraId="1FA73AAA" w14:textId="77777777" w:rsidR="00A46537" w:rsidRDefault="00A46537" w:rsidP="00A46537">
      <w:pPr>
        <w:jc w:val="center"/>
      </w:pPr>
    </w:p>
    <w:p w14:paraId="38FD0FC1" w14:textId="77777777" w:rsidR="00A46537" w:rsidRDefault="00A46537" w:rsidP="00A46537">
      <w:pPr>
        <w:jc w:val="center"/>
      </w:pPr>
    </w:p>
    <w:p w14:paraId="6ED8CBE6" w14:textId="77777777" w:rsidR="00A46537" w:rsidRDefault="00A46537" w:rsidP="00A46537">
      <w:pPr>
        <w:jc w:val="center"/>
      </w:pPr>
    </w:p>
    <w:p w14:paraId="0FD85CDE" w14:textId="77777777" w:rsidR="00A46537" w:rsidRDefault="00A46537" w:rsidP="00A46537">
      <w:pPr>
        <w:jc w:val="center"/>
      </w:pPr>
    </w:p>
    <w:p w14:paraId="2018BD83" w14:textId="77777777" w:rsidR="00A46537" w:rsidRDefault="00A46537" w:rsidP="00A46537">
      <w:pPr>
        <w:jc w:val="center"/>
      </w:pPr>
    </w:p>
    <w:p w14:paraId="3F91FF1F" w14:textId="77777777" w:rsidR="00A46537" w:rsidRDefault="00A46537" w:rsidP="00A46537">
      <w:pPr>
        <w:jc w:val="center"/>
      </w:pPr>
    </w:p>
    <w:p w14:paraId="7A333342" w14:textId="77777777" w:rsidR="00A46537" w:rsidRDefault="00A46537" w:rsidP="00A46537">
      <w:pPr>
        <w:jc w:val="center"/>
      </w:pPr>
    </w:p>
    <w:p w14:paraId="205680A8" w14:textId="77777777" w:rsidR="00A46537" w:rsidRDefault="00A46537" w:rsidP="00A46537">
      <w:pPr>
        <w:jc w:val="center"/>
      </w:pPr>
    </w:p>
    <w:p w14:paraId="57D509AA" w14:textId="77777777" w:rsidR="00A46537" w:rsidRDefault="00A46537" w:rsidP="00A46537">
      <w:pPr>
        <w:jc w:val="center"/>
      </w:pPr>
    </w:p>
    <w:p w14:paraId="1F088336" w14:textId="77777777" w:rsidR="00A46537" w:rsidRDefault="00A46537" w:rsidP="00A46537">
      <w:pPr>
        <w:jc w:val="center"/>
      </w:pPr>
    </w:p>
    <w:p w14:paraId="6D174E04" w14:textId="77777777" w:rsidR="00A46537" w:rsidRDefault="00A46537" w:rsidP="00A46537">
      <w:pPr>
        <w:jc w:val="center"/>
      </w:pPr>
    </w:p>
    <w:p w14:paraId="7E42194B" w14:textId="77777777" w:rsidR="00A46537" w:rsidRDefault="00A46537" w:rsidP="00A46537">
      <w:pPr>
        <w:jc w:val="center"/>
      </w:pPr>
    </w:p>
    <w:p w14:paraId="21FE6FF9" w14:textId="77777777" w:rsidR="00A46537" w:rsidRDefault="00A46537" w:rsidP="00A46537">
      <w:pPr>
        <w:jc w:val="center"/>
      </w:pPr>
    </w:p>
    <w:p w14:paraId="4299FF97" w14:textId="77777777" w:rsidR="00A46537" w:rsidRDefault="00A46537" w:rsidP="00A46537">
      <w:pPr>
        <w:jc w:val="center"/>
      </w:pPr>
    </w:p>
    <w:p w14:paraId="79AED7AF" w14:textId="77777777" w:rsidR="00A46537" w:rsidRDefault="00A46537" w:rsidP="00A46537">
      <w:pPr>
        <w:jc w:val="center"/>
      </w:pPr>
    </w:p>
    <w:p w14:paraId="52D3C8C3" w14:textId="77777777" w:rsidR="00A46537" w:rsidRDefault="00A46537" w:rsidP="00A46537">
      <w:pPr>
        <w:jc w:val="center"/>
      </w:pPr>
    </w:p>
    <w:p w14:paraId="52679E41" w14:textId="77777777" w:rsidR="00A46537" w:rsidRDefault="00A46537" w:rsidP="00A46537">
      <w:pPr>
        <w:jc w:val="center"/>
      </w:pPr>
    </w:p>
    <w:p w14:paraId="6261F570" w14:textId="77777777" w:rsidR="00A46537" w:rsidRDefault="00A46537" w:rsidP="00A46537">
      <w:pPr>
        <w:jc w:val="center"/>
      </w:pPr>
    </w:p>
    <w:p w14:paraId="3BB78A4B" w14:textId="77777777" w:rsidR="00A46537" w:rsidRDefault="00A46537" w:rsidP="00A46537">
      <w:pPr>
        <w:jc w:val="center"/>
      </w:pPr>
    </w:p>
    <w:p w14:paraId="57CD9BF9" w14:textId="77777777" w:rsidR="00514F52" w:rsidRDefault="00514F52" w:rsidP="00514F52">
      <w:pPr>
        <w:spacing w:after="0" w:line="480" w:lineRule="auto"/>
        <w:jc w:val="center"/>
        <w:rPr>
          <w:rFonts w:ascii="Lato" w:hAnsi="Lato"/>
          <w:b/>
          <w:bCs/>
          <w:sz w:val="20"/>
          <w:szCs w:val="20"/>
        </w:rPr>
      </w:pPr>
      <w:r w:rsidRPr="00A9332C">
        <w:rPr>
          <w:rFonts w:ascii="Lato" w:hAnsi="Lato"/>
          <w:b/>
          <w:bCs/>
          <w:sz w:val="20"/>
          <w:szCs w:val="20"/>
        </w:rPr>
        <w:t>Appendix B</w:t>
      </w:r>
    </w:p>
    <w:p w14:paraId="05E5781A" w14:textId="77777777" w:rsidR="00514F52" w:rsidRPr="00A9332C" w:rsidRDefault="00514F52" w:rsidP="00514F52">
      <w:pPr>
        <w:spacing w:after="0" w:line="480" w:lineRule="auto"/>
        <w:rPr>
          <w:rFonts w:ascii="Lato" w:hAnsi="Lato"/>
          <w:b/>
          <w:bCs/>
          <w:sz w:val="20"/>
          <w:szCs w:val="20"/>
        </w:rPr>
      </w:pPr>
      <w:r>
        <w:rPr>
          <w:rFonts w:ascii="Lato" w:hAnsi="Lato"/>
          <w:b/>
          <w:bCs/>
          <w:sz w:val="20"/>
          <w:szCs w:val="20"/>
        </w:rPr>
        <w:lastRenderedPageBreak/>
        <w:t>Future State Workflow</w:t>
      </w:r>
    </w:p>
    <w:p w14:paraId="4F3D2C5A" w14:textId="77777777" w:rsidR="00514F52" w:rsidRDefault="00514F52" w:rsidP="00514F52">
      <w:pPr>
        <w:spacing w:after="0" w:line="480" w:lineRule="auto"/>
        <w:rPr>
          <w:rFonts w:ascii="Lato" w:hAnsi="Lato"/>
          <w:sz w:val="20"/>
          <w:szCs w:val="20"/>
        </w:rPr>
      </w:pPr>
    </w:p>
    <w:p w14:paraId="78DB474B" w14:textId="77777777" w:rsidR="00514F52" w:rsidRDefault="00514F52" w:rsidP="00514F52">
      <w:pPr>
        <w:spacing w:after="0" w:line="480" w:lineRule="auto"/>
        <w:rPr>
          <w:rFonts w:ascii="Lato" w:hAnsi="Lato"/>
          <w:sz w:val="20"/>
          <w:szCs w:val="20"/>
        </w:rPr>
      </w:pPr>
      <w:r>
        <w:rPr>
          <w:noProof/>
        </w:rPr>
        <w:drawing>
          <wp:anchor distT="0" distB="0" distL="114300" distR="114300" simplePos="0" relativeHeight="251661312" behindDoc="0" locked="0" layoutInCell="1" allowOverlap="1" wp14:anchorId="0F24E1DD" wp14:editId="14F99E33">
            <wp:simplePos x="0" y="0"/>
            <wp:positionH relativeFrom="column">
              <wp:posOffset>-374650</wp:posOffset>
            </wp:positionH>
            <wp:positionV relativeFrom="paragraph">
              <wp:posOffset>101600</wp:posOffset>
            </wp:positionV>
            <wp:extent cx="6813550" cy="3824614"/>
            <wp:effectExtent l="0" t="0" r="0" b="0"/>
            <wp:wrapNone/>
            <wp:docPr id="3"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flow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13550" cy="3824614"/>
                    </a:xfrm>
                    <a:prstGeom prst="rect">
                      <a:avLst/>
                    </a:prstGeom>
                  </pic:spPr>
                </pic:pic>
              </a:graphicData>
            </a:graphic>
            <wp14:sizeRelH relativeFrom="page">
              <wp14:pctWidth>0</wp14:pctWidth>
            </wp14:sizeRelH>
            <wp14:sizeRelV relativeFrom="page">
              <wp14:pctHeight>0</wp14:pctHeight>
            </wp14:sizeRelV>
          </wp:anchor>
        </w:drawing>
      </w:r>
    </w:p>
    <w:p w14:paraId="0F4AF6D8" w14:textId="77777777" w:rsidR="00514F52" w:rsidRDefault="00514F52" w:rsidP="00514F52">
      <w:pPr>
        <w:spacing w:after="0" w:line="480" w:lineRule="auto"/>
        <w:rPr>
          <w:rFonts w:ascii="Lato" w:hAnsi="Lato"/>
          <w:sz w:val="20"/>
          <w:szCs w:val="20"/>
        </w:rPr>
      </w:pPr>
    </w:p>
    <w:p w14:paraId="49EC73D7" w14:textId="77777777" w:rsidR="00514F52" w:rsidRDefault="00514F52" w:rsidP="00514F52">
      <w:pPr>
        <w:spacing w:after="0" w:line="480" w:lineRule="auto"/>
        <w:rPr>
          <w:rFonts w:ascii="Lato" w:hAnsi="Lato"/>
          <w:sz w:val="20"/>
          <w:szCs w:val="20"/>
        </w:rPr>
      </w:pPr>
    </w:p>
    <w:p w14:paraId="61E6FF43" w14:textId="77777777" w:rsidR="00A46537" w:rsidRDefault="00A46537" w:rsidP="00A46537">
      <w:pPr>
        <w:jc w:val="center"/>
      </w:pPr>
    </w:p>
    <w:p w14:paraId="06E58773" w14:textId="77777777" w:rsidR="00A46537" w:rsidRDefault="00A46537" w:rsidP="00A46537">
      <w:pPr>
        <w:jc w:val="center"/>
      </w:pPr>
    </w:p>
    <w:p w14:paraId="7D8EEA13" w14:textId="77777777" w:rsidR="00A46537" w:rsidRDefault="00A46537" w:rsidP="00A46537">
      <w:pPr>
        <w:jc w:val="center"/>
      </w:pPr>
    </w:p>
    <w:p w14:paraId="79AF9927" w14:textId="77777777" w:rsidR="00A46537" w:rsidRDefault="00A46537" w:rsidP="00A46537">
      <w:pPr>
        <w:jc w:val="center"/>
      </w:pPr>
    </w:p>
    <w:p w14:paraId="132DE362" w14:textId="77777777" w:rsidR="00A46537" w:rsidRDefault="00A46537" w:rsidP="00A46537">
      <w:pPr>
        <w:jc w:val="center"/>
      </w:pPr>
    </w:p>
    <w:p w14:paraId="5105666E" w14:textId="77777777" w:rsidR="00A46537" w:rsidRDefault="00A46537" w:rsidP="00A46537">
      <w:pPr>
        <w:jc w:val="center"/>
      </w:pPr>
    </w:p>
    <w:p w14:paraId="0258A885" w14:textId="77777777" w:rsidR="00A46537" w:rsidRDefault="00A46537" w:rsidP="00A46537">
      <w:pPr>
        <w:jc w:val="center"/>
      </w:pPr>
    </w:p>
    <w:p w14:paraId="7FCF9EE8" w14:textId="77777777" w:rsidR="00514F52" w:rsidRDefault="00514F52" w:rsidP="00A46537">
      <w:pPr>
        <w:jc w:val="center"/>
      </w:pPr>
    </w:p>
    <w:p w14:paraId="1632091C" w14:textId="77777777" w:rsidR="00514F52" w:rsidRDefault="00514F52" w:rsidP="00A46537">
      <w:pPr>
        <w:jc w:val="center"/>
      </w:pPr>
    </w:p>
    <w:p w14:paraId="08FDFF6B" w14:textId="77777777" w:rsidR="00514F52" w:rsidRDefault="00514F52" w:rsidP="00A46537">
      <w:pPr>
        <w:jc w:val="center"/>
      </w:pPr>
    </w:p>
    <w:p w14:paraId="0D9B9116" w14:textId="77777777" w:rsidR="00514F52" w:rsidRDefault="00514F52" w:rsidP="00A46537">
      <w:pPr>
        <w:jc w:val="center"/>
      </w:pPr>
    </w:p>
    <w:p w14:paraId="0830E6D0" w14:textId="77777777" w:rsidR="00514F52" w:rsidRDefault="00514F52" w:rsidP="00A46537">
      <w:pPr>
        <w:jc w:val="center"/>
      </w:pPr>
    </w:p>
    <w:p w14:paraId="1EFD4DCC" w14:textId="77777777" w:rsidR="00514F52" w:rsidRDefault="00514F52" w:rsidP="00A46537">
      <w:pPr>
        <w:jc w:val="center"/>
      </w:pPr>
    </w:p>
    <w:p w14:paraId="34EFB752" w14:textId="77777777" w:rsidR="00514F52" w:rsidRDefault="00514F52" w:rsidP="00A46537">
      <w:pPr>
        <w:jc w:val="center"/>
      </w:pPr>
    </w:p>
    <w:p w14:paraId="427110A9" w14:textId="77777777" w:rsidR="00514F52" w:rsidRDefault="00514F52" w:rsidP="00A46537">
      <w:pPr>
        <w:jc w:val="center"/>
      </w:pPr>
    </w:p>
    <w:p w14:paraId="34D34882" w14:textId="77777777" w:rsidR="00514F52" w:rsidRDefault="00514F52" w:rsidP="00A46537">
      <w:pPr>
        <w:jc w:val="center"/>
      </w:pPr>
    </w:p>
    <w:p w14:paraId="6C7E34A0" w14:textId="77777777" w:rsidR="00514F52" w:rsidRDefault="00514F52" w:rsidP="00A46537">
      <w:pPr>
        <w:jc w:val="center"/>
      </w:pPr>
    </w:p>
    <w:p w14:paraId="1C360D3B" w14:textId="77777777" w:rsidR="00514F52" w:rsidRDefault="00514F52" w:rsidP="00A46537">
      <w:pPr>
        <w:jc w:val="center"/>
      </w:pPr>
    </w:p>
    <w:p w14:paraId="67511EC0" w14:textId="77777777" w:rsidR="00514F52" w:rsidRDefault="00514F52" w:rsidP="00A46537">
      <w:pPr>
        <w:jc w:val="center"/>
      </w:pPr>
    </w:p>
    <w:p w14:paraId="0FEB6765" w14:textId="77777777" w:rsidR="00514F52" w:rsidRDefault="00514F52" w:rsidP="00A46537">
      <w:pPr>
        <w:jc w:val="center"/>
      </w:pPr>
    </w:p>
    <w:p w14:paraId="3A097DD6" w14:textId="77777777" w:rsidR="00514F52" w:rsidRDefault="00514F52" w:rsidP="00A46537">
      <w:pPr>
        <w:jc w:val="center"/>
      </w:pPr>
    </w:p>
    <w:p w14:paraId="17E6D530" w14:textId="77777777" w:rsidR="00514F52" w:rsidRDefault="00514F52" w:rsidP="00320EA4"/>
    <w:p w14:paraId="6DF4F2D6" w14:textId="77777777" w:rsidR="00320EA4" w:rsidRDefault="00320EA4" w:rsidP="00320EA4">
      <w:pPr>
        <w:spacing w:after="0" w:line="480" w:lineRule="auto"/>
        <w:jc w:val="center"/>
        <w:rPr>
          <w:rFonts w:ascii="Lato" w:hAnsi="Lato"/>
          <w:sz w:val="20"/>
          <w:szCs w:val="20"/>
        </w:rPr>
      </w:pPr>
      <w:r>
        <w:rPr>
          <w:rFonts w:ascii="Lato" w:hAnsi="Lato"/>
          <w:sz w:val="20"/>
          <w:szCs w:val="20"/>
        </w:rPr>
        <w:t>Appendix C</w:t>
      </w:r>
    </w:p>
    <w:p w14:paraId="6914F9D8" w14:textId="77777777" w:rsidR="00320EA4" w:rsidRDefault="00320EA4" w:rsidP="00320EA4">
      <w:pPr>
        <w:spacing w:after="0" w:line="480" w:lineRule="auto"/>
        <w:rPr>
          <w:rFonts w:ascii="Lato" w:hAnsi="Lato"/>
          <w:sz w:val="20"/>
          <w:szCs w:val="20"/>
        </w:rPr>
      </w:pPr>
      <w:r>
        <w:rPr>
          <w:rFonts w:ascii="Lato" w:hAnsi="Lato"/>
          <w:sz w:val="20"/>
          <w:szCs w:val="20"/>
        </w:rPr>
        <w:lastRenderedPageBreak/>
        <w:t xml:space="preserve">Ultra Future State Workflow </w:t>
      </w:r>
    </w:p>
    <w:p w14:paraId="64C1C848" w14:textId="77777777" w:rsidR="00320EA4" w:rsidRDefault="00320EA4" w:rsidP="00320EA4">
      <w:pPr>
        <w:spacing w:after="0" w:line="480" w:lineRule="auto"/>
        <w:rPr>
          <w:rFonts w:ascii="Lato" w:hAnsi="Lato"/>
          <w:sz w:val="20"/>
          <w:szCs w:val="20"/>
        </w:rPr>
      </w:pPr>
      <w:r>
        <w:rPr>
          <w:noProof/>
        </w:rPr>
        <w:drawing>
          <wp:anchor distT="0" distB="0" distL="114300" distR="114300" simplePos="0" relativeHeight="251663360" behindDoc="0" locked="0" layoutInCell="1" allowOverlap="1" wp14:anchorId="5ABF51E7" wp14:editId="78B5EB59">
            <wp:simplePos x="0" y="0"/>
            <wp:positionH relativeFrom="column">
              <wp:posOffset>-500333</wp:posOffset>
            </wp:positionH>
            <wp:positionV relativeFrom="paragraph">
              <wp:posOffset>158151</wp:posOffset>
            </wp:positionV>
            <wp:extent cx="7090913" cy="3971972"/>
            <wp:effectExtent l="0" t="0" r="0" b="0"/>
            <wp:wrapNone/>
            <wp:docPr id="4"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ce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097245" cy="3975519"/>
                    </a:xfrm>
                    <a:prstGeom prst="rect">
                      <a:avLst/>
                    </a:prstGeom>
                  </pic:spPr>
                </pic:pic>
              </a:graphicData>
            </a:graphic>
            <wp14:sizeRelH relativeFrom="page">
              <wp14:pctWidth>0</wp14:pctWidth>
            </wp14:sizeRelH>
            <wp14:sizeRelV relativeFrom="page">
              <wp14:pctHeight>0</wp14:pctHeight>
            </wp14:sizeRelV>
          </wp:anchor>
        </w:drawing>
      </w:r>
    </w:p>
    <w:p w14:paraId="792D52D0" w14:textId="77777777" w:rsidR="00320EA4" w:rsidRDefault="00320EA4" w:rsidP="00320EA4">
      <w:pPr>
        <w:spacing w:after="0" w:line="480" w:lineRule="auto"/>
        <w:rPr>
          <w:rFonts w:ascii="Lato" w:hAnsi="Lato"/>
          <w:sz w:val="20"/>
          <w:szCs w:val="20"/>
        </w:rPr>
      </w:pPr>
    </w:p>
    <w:p w14:paraId="5ACEDB8A" w14:textId="77777777" w:rsidR="00320EA4" w:rsidRDefault="00320EA4" w:rsidP="00320EA4">
      <w:pPr>
        <w:spacing w:after="0" w:line="480" w:lineRule="auto"/>
        <w:rPr>
          <w:rFonts w:ascii="Lato" w:hAnsi="Lato"/>
          <w:sz w:val="20"/>
          <w:szCs w:val="20"/>
        </w:rPr>
      </w:pPr>
    </w:p>
    <w:p w14:paraId="4CC91F37" w14:textId="77777777" w:rsidR="00320EA4" w:rsidRDefault="00320EA4" w:rsidP="00320EA4">
      <w:pPr>
        <w:spacing w:after="0" w:line="480" w:lineRule="auto"/>
        <w:rPr>
          <w:rFonts w:ascii="Lato" w:hAnsi="Lato"/>
          <w:sz w:val="20"/>
          <w:szCs w:val="20"/>
        </w:rPr>
      </w:pPr>
    </w:p>
    <w:p w14:paraId="027D5421" w14:textId="77777777" w:rsidR="00514F52" w:rsidRDefault="00514F52" w:rsidP="00A46537">
      <w:pPr>
        <w:jc w:val="center"/>
      </w:pPr>
    </w:p>
    <w:sectPr w:rsidR="00514F5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F1BC" w14:textId="77777777" w:rsidR="00D7301B" w:rsidRDefault="00D7301B" w:rsidP="00D7301B">
      <w:pPr>
        <w:spacing w:after="0" w:line="240" w:lineRule="auto"/>
      </w:pPr>
      <w:r>
        <w:separator/>
      </w:r>
    </w:p>
  </w:endnote>
  <w:endnote w:type="continuationSeparator" w:id="0">
    <w:p w14:paraId="72745A15" w14:textId="77777777" w:rsidR="00D7301B" w:rsidRDefault="00D7301B" w:rsidP="00D7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Kigelia">
    <w:charset w:val="00"/>
    <w:family w:val="swiss"/>
    <w:pitch w:val="variable"/>
    <w:sig w:usb0="A01526FF" w:usb1="C200004B" w:usb2="00010800" w:usb3="00000000" w:csb0="0000019F" w:csb1="00000000"/>
  </w:font>
  <w:font w:name="AdvPSSAB-R">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CE04A" w14:textId="77777777" w:rsidR="00D7301B" w:rsidRDefault="00D7301B" w:rsidP="00D7301B">
      <w:pPr>
        <w:spacing w:after="0" w:line="240" w:lineRule="auto"/>
      </w:pPr>
      <w:r>
        <w:separator/>
      </w:r>
    </w:p>
  </w:footnote>
  <w:footnote w:type="continuationSeparator" w:id="0">
    <w:p w14:paraId="44B9E9D0" w14:textId="77777777" w:rsidR="00D7301B" w:rsidRDefault="00D7301B" w:rsidP="00D73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839013"/>
      <w:docPartObj>
        <w:docPartGallery w:val="Page Numbers (Top of Page)"/>
        <w:docPartUnique/>
      </w:docPartObj>
    </w:sdtPr>
    <w:sdtEndPr>
      <w:rPr>
        <w:noProof/>
      </w:rPr>
    </w:sdtEndPr>
    <w:sdtContent>
      <w:p w14:paraId="24FD5E44" w14:textId="15E73D7C" w:rsidR="00D7301B" w:rsidRDefault="00D730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7DE6B1" w14:textId="77777777" w:rsidR="00D7301B" w:rsidRDefault="00D730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5F05"/>
    <w:rsid w:val="000A26EC"/>
    <w:rsid w:val="00160256"/>
    <w:rsid w:val="00320EA4"/>
    <w:rsid w:val="003C4ED2"/>
    <w:rsid w:val="00447563"/>
    <w:rsid w:val="00514F52"/>
    <w:rsid w:val="00730606"/>
    <w:rsid w:val="00985F05"/>
    <w:rsid w:val="00A46537"/>
    <w:rsid w:val="00D7301B"/>
    <w:rsid w:val="00E85BB6"/>
    <w:rsid w:val="00F0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9CC49"/>
  <w15:chartTrackingRefBased/>
  <w15:docId w15:val="{B9E56F0F-16C0-4863-9F80-186FFBF4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5F05"/>
    <w:rPr>
      <w:color w:val="0563C1" w:themeColor="hyperlink"/>
      <w:u w:val="single"/>
    </w:rPr>
  </w:style>
  <w:style w:type="paragraph" w:customStyle="1" w:styleId="Default">
    <w:name w:val="Default"/>
    <w:rsid w:val="00985F05"/>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D73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01B"/>
  </w:style>
  <w:style w:type="paragraph" w:styleId="Footer">
    <w:name w:val="footer"/>
    <w:basedOn w:val="Normal"/>
    <w:link w:val="FooterChar"/>
    <w:uiPriority w:val="99"/>
    <w:unhideWhenUsed/>
    <w:rsid w:val="00D73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ahrq.gov/ahrq-funded-projects/integrating-patient-generated-digital-health-data-electronic-health-records" TargetMode="External"/><Relationship Id="rId13" Type="http://schemas.openxmlformats.org/officeDocument/2006/relationships/hyperlink" Target="https://www.ncbi.nlm.nih.gov/pmc/articles/PMC8120425/"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ahrq.gov/sites/default/files/wysiwyg/professionals/quality-patient-safety/quality-resources/tools/literacy/sahl-e-form-user-guide.pdf" TargetMode="External"/><Relationship Id="rId12" Type="http://schemas.openxmlformats.org/officeDocument/2006/relationships/hyperlink" Target="https://journals.sagepub.com/doi/pdf/10.1177/1460458220928184"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igital.ahrq.gov/sites/default/files/docs/citation/pghd-practical-guide.pdf" TargetMode="External"/><Relationship Id="rId11" Type="http://schemas.openxmlformats.org/officeDocument/2006/relationships/hyperlink" Target="https://www.ncbi.nlm.nih.gov/pmc/articles/PMC2655982/" TargetMode="External"/><Relationship Id="rId5" Type="http://schemas.openxmlformats.org/officeDocument/2006/relationships/endnotes" Target="endnotes.xml"/><Relationship Id="rId15" Type="http://schemas.openxmlformats.org/officeDocument/2006/relationships/image" Target="media/image1.png"/><Relationship Id="rId10" Type="http://schemas.openxmlformats.org/officeDocument/2006/relationships/hyperlink" Target="https://eds.p.ebscohost.com/eds/pdfviewer/pdfviewer?vid=2&amp;sid=dff8d892-d4bb-44d0-9beb-74e4cbd22826%40redi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ncedirect.com/science/article/abs/pii/S2211883718301266" TargetMode="External"/><Relationship Id="rId14" Type="http://schemas.openxmlformats.org/officeDocument/2006/relationships/hyperlink" Target="https://academic.oup.com/jamia/article/24/6/1088/3775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2880</Words>
  <Characters>16421</Characters>
  <Application>Microsoft Office Word</Application>
  <DocSecurity>0</DocSecurity>
  <Lines>136</Lines>
  <Paragraphs>38</Paragraphs>
  <ScaleCrop>false</ScaleCrop>
  <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Cara A</dc:creator>
  <cp:keywords/>
  <dc:description/>
  <cp:lastModifiedBy>Garcia, Cara A</cp:lastModifiedBy>
  <cp:revision>9</cp:revision>
  <dcterms:created xsi:type="dcterms:W3CDTF">2023-08-05T16:32:00Z</dcterms:created>
  <dcterms:modified xsi:type="dcterms:W3CDTF">2023-08-05T22:28:00Z</dcterms:modified>
</cp:coreProperties>
</file>